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23" w:rsidRDefault="006F2423" w:rsidP="006F2423">
      <w:pPr>
        <w:adjustRightInd w:val="0"/>
        <w:snapToGrid w:val="0"/>
        <w:spacing w:line="600" w:lineRule="exact"/>
        <w:jc w:val="left"/>
        <w:rPr>
          <w:rFonts w:ascii="仿宋_GB2312" w:eastAsia="仿宋_GB2312"/>
          <w:sz w:val="32"/>
          <w:szCs w:val="44"/>
        </w:rPr>
      </w:pPr>
      <w:r w:rsidRPr="00A463FA">
        <w:rPr>
          <w:rFonts w:ascii="仿宋_GB2312" w:eastAsia="仿宋_GB2312" w:hint="eastAsia"/>
          <w:sz w:val="32"/>
          <w:szCs w:val="44"/>
        </w:rPr>
        <w:t>附件</w:t>
      </w:r>
    </w:p>
    <w:p w:rsidR="006F2423" w:rsidRPr="00A463FA" w:rsidRDefault="006F2423" w:rsidP="006F2423">
      <w:pPr>
        <w:adjustRightInd w:val="0"/>
        <w:snapToGrid w:val="0"/>
        <w:spacing w:line="600" w:lineRule="exact"/>
        <w:jc w:val="left"/>
        <w:rPr>
          <w:rFonts w:ascii="仿宋_GB2312" w:eastAsia="仿宋_GB2312"/>
          <w:sz w:val="32"/>
          <w:szCs w:val="44"/>
        </w:rPr>
      </w:pPr>
      <w:bookmarkStart w:id="0" w:name="_GoBack"/>
      <w:bookmarkEnd w:id="0"/>
    </w:p>
    <w:p w:rsidR="006F2423" w:rsidRDefault="006F2423" w:rsidP="006F2423">
      <w:pPr>
        <w:adjustRightInd w:val="0"/>
        <w:snapToGrid w:val="0"/>
        <w:spacing w:line="600" w:lineRule="exact"/>
        <w:jc w:val="center"/>
        <w:rPr>
          <w:rFonts w:ascii="方正小标宋简体" w:eastAsia="方正小标宋简体"/>
          <w:sz w:val="44"/>
          <w:szCs w:val="44"/>
        </w:rPr>
      </w:pPr>
      <w:r w:rsidRPr="00C6393B">
        <w:rPr>
          <w:rFonts w:ascii="方正小标宋简体" w:eastAsia="方正小标宋简体" w:hint="eastAsia"/>
          <w:sz w:val="44"/>
          <w:szCs w:val="44"/>
        </w:rPr>
        <w:t>关于</w:t>
      </w:r>
      <w:r>
        <w:rPr>
          <w:rFonts w:ascii="方正小标宋简体" w:eastAsia="方正小标宋简体" w:hint="eastAsia"/>
          <w:sz w:val="44"/>
          <w:szCs w:val="44"/>
        </w:rPr>
        <w:t>进一步落实《浙江省绿色建筑条例》提升绿色</w:t>
      </w:r>
      <w:r w:rsidRPr="00C6393B">
        <w:rPr>
          <w:rFonts w:ascii="方正小标宋简体" w:eastAsia="方正小标宋简体" w:hint="eastAsia"/>
          <w:sz w:val="44"/>
          <w:szCs w:val="44"/>
        </w:rPr>
        <w:t>建筑</w:t>
      </w:r>
      <w:r>
        <w:rPr>
          <w:rFonts w:ascii="方正小标宋简体" w:eastAsia="方正小标宋简体" w:hint="eastAsia"/>
          <w:sz w:val="44"/>
          <w:szCs w:val="44"/>
        </w:rPr>
        <w:t>运营能效水平</w:t>
      </w:r>
      <w:r w:rsidRPr="00C6393B">
        <w:rPr>
          <w:rFonts w:ascii="方正小标宋简体" w:eastAsia="方正小标宋简体" w:hint="eastAsia"/>
          <w:sz w:val="44"/>
          <w:szCs w:val="44"/>
        </w:rPr>
        <w:t>的通知</w:t>
      </w:r>
    </w:p>
    <w:p w:rsidR="006F2423" w:rsidRPr="0006052D" w:rsidRDefault="006F2423" w:rsidP="006F2423">
      <w:pPr>
        <w:adjustRightInd w:val="0"/>
        <w:snapToGrid w:val="0"/>
        <w:spacing w:line="600" w:lineRule="exact"/>
        <w:jc w:val="center"/>
        <w:rPr>
          <w:rFonts w:ascii="仿宋_GB2312" w:eastAsia="仿宋_GB2312"/>
          <w:sz w:val="32"/>
          <w:szCs w:val="32"/>
        </w:rPr>
      </w:pPr>
    </w:p>
    <w:p w:rsidR="006F2423" w:rsidRPr="00C6393B" w:rsidRDefault="006F2423" w:rsidP="006F2423">
      <w:pPr>
        <w:adjustRightInd w:val="0"/>
        <w:snapToGrid w:val="0"/>
        <w:spacing w:line="600" w:lineRule="exact"/>
        <w:rPr>
          <w:rFonts w:ascii="仿宋_GB2312" w:eastAsia="仿宋_GB2312"/>
          <w:sz w:val="32"/>
          <w:szCs w:val="32"/>
        </w:rPr>
      </w:pPr>
      <w:r w:rsidRPr="00C6393B">
        <w:rPr>
          <w:rFonts w:ascii="仿宋_GB2312" w:eastAsia="仿宋_GB2312" w:hint="eastAsia"/>
          <w:sz w:val="32"/>
          <w:szCs w:val="32"/>
        </w:rPr>
        <w:t>各区县（市）</w:t>
      </w:r>
      <w:r>
        <w:rPr>
          <w:rFonts w:ascii="仿宋_GB2312" w:eastAsia="仿宋_GB2312" w:hint="eastAsia"/>
          <w:sz w:val="32"/>
          <w:szCs w:val="32"/>
        </w:rPr>
        <w:t>、开发园区</w:t>
      </w:r>
      <w:r w:rsidRPr="00C6393B">
        <w:rPr>
          <w:rFonts w:ascii="仿宋_GB2312" w:eastAsia="仿宋_GB2312" w:hint="eastAsia"/>
          <w:sz w:val="32"/>
          <w:szCs w:val="32"/>
        </w:rPr>
        <w:t>住房城乡建设行政主管部门，市建设房产监察支队、市建筑工程安全质量监督总站，各区县（市）</w:t>
      </w:r>
      <w:r>
        <w:rPr>
          <w:rFonts w:ascii="仿宋_GB2312" w:eastAsia="仿宋_GB2312" w:hint="eastAsia"/>
          <w:sz w:val="32"/>
          <w:szCs w:val="32"/>
        </w:rPr>
        <w:t>、开发园区</w:t>
      </w:r>
      <w:r w:rsidRPr="00C6393B">
        <w:rPr>
          <w:rFonts w:ascii="仿宋_GB2312" w:eastAsia="仿宋_GB2312" w:hint="eastAsia"/>
          <w:sz w:val="32"/>
          <w:szCs w:val="32"/>
        </w:rPr>
        <w:t>建设工程质量安全监督站，市城乡建设信息中心</w:t>
      </w:r>
      <w:r>
        <w:rPr>
          <w:rFonts w:ascii="仿宋_GB2312" w:eastAsia="仿宋_GB2312" w:hint="eastAsia"/>
          <w:sz w:val="32"/>
          <w:szCs w:val="32"/>
        </w:rPr>
        <w:t>，</w:t>
      </w:r>
      <w:r w:rsidRPr="00C6393B">
        <w:rPr>
          <w:rFonts w:ascii="仿宋_GB2312" w:eastAsia="仿宋_GB2312" w:hint="eastAsia"/>
          <w:sz w:val="32"/>
          <w:szCs w:val="32"/>
        </w:rPr>
        <w:t>各</w:t>
      </w:r>
      <w:r>
        <w:rPr>
          <w:rFonts w:ascii="仿宋_GB2312" w:eastAsia="仿宋_GB2312" w:hint="eastAsia"/>
          <w:sz w:val="32"/>
          <w:szCs w:val="32"/>
        </w:rPr>
        <w:t>房地产</w:t>
      </w:r>
      <w:r w:rsidRPr="00C6393B">
        <w:rPr>
          <w:rFonts w:ascii="仿宋_GB2312" w:eastAsia="仿宋_GB2312" w:hint="eastAsia"/>
          <w:sz w:val="32"/>
          <w:szCs w:val="32"/>
        </w:rPr>
        <w:t>开发</w:t>
      </w:r>
      <w:r>
        <w:rPr>
          <w:rFonts w:ascii="仿宋_GB2312" w:eastAsia="仿宋_GB2312" w:hint="eastAsia"/>
          <w:sz w:val="32"/>
          <w:szCs w:val="32"/>
        </w:rPr>
        <w:t>建设</w:t>
      </w:r>
      <w:r w:rsidRPr="00C6393B">
        <w:rPr>
          <w:rFonts w:ascii="仿宋_GB2312" w:eastAsia="仿宋_GB2312" w:hint="eastAsia"/>
          <w:sz w:val="32"/>
          <w:szCs w:val="32"/>
        </w:rPr>
        <w:t>、</w:t>
      </w:r>
      <w:r>
        <w:rPr>
          <w:rFonts w:ascii="仿宋_GB2312" w:eastAsia="仿宋_GB2312" w:hint="eastAsia"/>
          <w:sz w:val="32"/>
          <w:szCs w:val="32"/>
        </w:rPr>
        <w:t>设计、节能评估、施工、监理、审图单位，</w:t>
      </w:r>
      <w:r w:rsidRPr="00C6393B">
        <w:rPr>
          <w:rFonts w:ascii="仿宋_GB2312" w:eastAsia="仿宋_GB2312" w:hint="eastAsia"/>
          <w:sz w:val="32"/>
          <w:szCs w:val="32"/>
        </w:rPr>
        <w:t>各有关单位：</w:t>
      </w:r>
    </w:p>
    <w:p w:rsidR="006F2423" w:rsidRPr="00C6393B" w:rsidRDefault="006F2423" w:rsidP="006F2423">
      <w:pPr>
        <w:adjustRightInd w:val="0"/>
        <w:snapToGrid w:val="0"/>
        <w:spacing w:line="600" w:lineRule="exact"/>
        <w:ind w:firstLine="648"/>
        <w:rPr>
          <w:rFonts w:ascii="仿宋_GB2312" w:eastAsia="仿宋_GB2312"/>
          <w:sz w:val="32"/>
          <w:szCs w:val="32"/>
        </w:rPr>
      </w:pPr>
      <w:r w:rsidRPr="00C6393B">
        <w:rPr>
          <w:rFonts w:ascii="仿宋_GB2312" w:eastAsia="仿宋_GB2312" w:hint="eastAsia"/>
          <w:sz w:val="32"/>
          <w:szCs w:val="32"/>
        </w:rPr>
        <w:t>为</w:t>
      </w:r>
      <w:r>
        <w:rPr>
          <w:rFonts w:ascii="仿宋_GB2312" w:eastAsia="仿宋_GB2312" w:hint="eastAsia"/>
          <w:sz w:val="32"/>
          <w:szCs w:val="32"/>
        </w:rPr>
        <w:t>进一步贯彻</w:t>
      </w:r>
      <w:r w:rsidRPr="00C6393B">
        <w:rPr>
          <w:rFonts w:ascii="仿宋_GB2312" w:eastAsia="仿宋_GB2312" w:hint="eastAsia"/>
          <w:sz w:val="32"/>
          <w:szCs w:val="32"/>
        </w:rPr>
        <w:t>落实《浙江省绿色建筑条例》</w:t>
      </w:r>
      <w:r>
        <w:rPr>
          <w:rFonts w:ascii="仿宋_GB2312" w:eastAsia="仿宋_GB2312" w:hint="eastAsia"/>
          <w:sz w:val="32"/>
          <w:szCs w:val="32"/>
        </w:rPr>
        <w:t>相关</w:t>
      </w:r>
      <w:r w:rsidRPr="00C6393B">
        <w:rPr>
          <w:rFonts w:ascii="仿宋_GB2312" w:eastAsia="仿宋_GB2312" w:hint="eastAsia"/>
          <w:sz w:val="32"/>
          <w:szCs w:val="32"/>
        </w:rPr>
        <w:t>法规规定，发挥绿色建筑的</w:t>
      </w:r>
      <w:r>
        <w:rPr>
          <w:rFonts w:ascii="仿宋_GB2312" w:eastAsia="仿宋_GB2312" w:hint="eastAsia"/>
          <w:sz w:val="32"/>
          <w:szCs w:val="32"/>
        </w:rPr>
        <w:t>能源</w:t>
      </w:r>
      <w:r w:rsidRPr="00C6393B">
        <w:rPr>
          <w:rFonts w:ascii="仿宋_GB2312" w:eastAsia="仿宋_GB2312" w:hint="eastAsia"/>
          <w:sz w:val="32"/>
          <w:szCs w:val="32"/>
        </w:rPr>
        <w:t>资源节约优势，</w:t>
      </w:r>
      <w:r>
        <w:rPr>
          <w:rFonts w:ascii="仿宋_GB2312" w:eastAsia="仿宋_GB2312" w:hint="eastAsia"/>
          <w:sz w:val="32"/>
          <w:szCs w:val="32"/>
        </w:rPr>
        <w:t>夯实民用建筑能耗限额工作基础，结合</w:t>
      </w:r>
      <w:r w:rsidRPr="00FC11B0">
        <w:rPr>
          <w:rFonts w:ascii="仿宋_GB2312" w:eastAsia="仿宋_GB2312" w:hint="eastAsia"/>
          <w:sz w:val="32"/>
          <w:szCs w:val="32"/>
        </w:rPr>
        <w:t>浙江省人民政府办公厅</w:t>
      </w:r>
      <w:r>
        <w:rPr>
          <w:rFonts w:ascii="仿宋_GB2312" w:eastAsia="仿宋_GB2312" w:hint="eastAsia"/>
          <w:sz w:val="32"/>
          <w:szCs w:val="32"/>
        </w:rPr>
        <w:t>《</w:t>
      </w:r>
      <w:r w:rsidRPr="00FC11B0">
        <w:rPr>
          <w:rFonts w:ascii="仿宋_GB2312" w:eastAsia="仿宋_GB2312" w:hint="eastAsia"/>
          <w:sz w:val="32"/>
          <w:szCs w:val="32"/>
        </w:rPr>
        <w:t>关于印发浙江省工程建设项目审批制度改革试点工作实施方案的通知</w:t>
      </w:r>
      <w:r>
        <w:rPr>
          <w:rFonts w:ascii="仿宋_GB2312" w:eastAsia="仿宋_GB2312" w:hint="eastAsia"/>
          <w:sz w:val="32"/>
          <w:szCs w:val="32"/>
        </w:rPr>
        <w:t>》（</w:t>
      </w:r>
      <w:r w:rsidRPr="00FC11B0">
        <w:rPr>
          <w:rFonts w:ascii="仿宋_GB2312" w:eastAsia="仿宋_GB2312" w:hint="eastAsia"/>
          <w:sz w:val="32"/>
          <w:szCs w:val="32"/>
        </w:rPr>
        <w:t>浙政办发</w:t>
      </w:r>
      <w:r>
        <w:rPr>
          <w:rFonts w:ascii="宋体" w:eastAsia="宋体" w:hAnsi="宋体" w:hint="eastAsia"/>
          <w:sz w:val="32"/>
          <w:szCs w:val="32"/>
        </w:rPr>
        <w:t>〔</w:t>
      </w:r>
      <w:r w:rsidRPr="00FC11B0">
        <w:rPr>
          <w:rFonts w:ascii="仿宋_GB2312" w:eastAsia="仿宋_GB2312" w:hint="eastAsia"/>
          <w:sz w:val="32"/>
          <w:szCs w:val="32"/>
        </w:rPr>
        <w:t>2018</w:t>
      </w:r>
      <w:r>
        <w:rPr>
          <w:rFonts w:ascii="宋体" w:eastAsia="宋体" w:hAnsi="宋体" w:hint="eastAsia"/>
          <w:sz w:val="32"/>
          <w:szCs w:val="32"/>
        </w:rPr>
        <w:t>〕</w:t>
      </w:r>
      <w:r w:rsidRPr="00FC11B0">
        <w:rPr>
          <w:rFonts w:ascii="仿宋_GB2312" w:eastAsia="仿宋_GB2312" w:hint="eastAsia"/>
          <w:sz w:val="32"/>
          <w:szCs w:val="32"/>
        </w:rPr>
        <w:t>81号</w:t>
      </w:r>
      <w:r>
        <w:rPr>
          <w:rFonts w:ascii="仿宋_GB2312" w:eastAsia="仿宋_GB2312" w:hint="eastAsia"/>
          <w:sz w:val="32"/>
          <w:szCs w:val="32"/>
        </w:rPr>
        <w:t>）改革部署，对我市民用建筑工程项目的设计、节能评估、施工图审查、</w:t>
      </w:r>
      <w:r w:rsidRPr="00C6393B">
        <w:rPr>
          <w:rFonts w:ascii="仿宋_GB2312" w:eastAsia="仿宋_GB2312" w:hint="eastAsia"/>
          <w:sz w:val="32"/>
          <w:szCs w:val="32"/>
        </w:rPr>
        <w:t>能效测评、能耗实时监测、绿色建筑信息公示等环节，</w:t>
      </w:r>
      <w:r>
        <w:rPr>
          <w:rFonts w:ascii="仿宋_GB2312" w:eastAsia="仿宋_GB2312" w:hint="eastAsia"/>
          <w:sz w:val="32"/>
          <w:szCs w:val="32"/>
        </w:rPr>
        <w:t>在上位法规规章的基础上，</w:t>
      </w:r>
      <w:r w:rsidRPr="00C6393B">
        <w:rPr>
          <w:rFonts w:ascii="仿宋_GB2312" w:eastAsia="仿宋_GB2312" w:hint="eastAsia"/>
          <w:sz w:val="32"/>
          <w:szCs w:val="32"/>
        </w:rPr>
        <w:t>进一步细化工作流程，明确责任</w:t>
      </w:r>
      <w:r>
        <w:rPr>
          <w:rFonts w:ascii="仿宋_GB2312" w:eastAsia="仿宋_GB2312" w:hint="eastAsia"/>
          <w:sz w:val="32"/>
          <w:szCs w:val="32"/>
        </w:rPr>
        <w:t>主体，促进绿色建筑的</w:t>
      </w:r>
      <w:r w:rsidRPr="00C6393B">
        <w:rPr>
          <w:rFonts w:ascii="仿宋_GB2312" w:eastAsia="仿宋_GB2312" w:hint="eastAsia"/>
          <w:sz w:val="32"/>
          <w:szCs w:val="32"/>
        </w:rPr>
        <w:t>可持续</w:t>
      </w:r>
      <w:r>
        <w:rPr>
          <w:rFonts w:ascii="仿宋_GB2312" w:eastAsia="仿宋_GB2312" w:hint="eastAsia"/>
          <w:sz w:val="32"/>
          <w:szCs w:val="32"/>
        </w:rPr>
        <w:t>发展，具体内容</w:t>
      </w:r>
      <w:r w:rsidRPr="00C6393B">
        <w:rPr>
          <w:rFonts w:ascii="仿宋_GB2312" w:eastAsia="仿宋_GB2312" w:hint="eastAsia"/>
          <w:sz w:val="32"/>
          <w:szCs w:val="32"/>
        </w:rPr>
        <w:t>通知如下</w:t>
      </w:r>
      <w:r>
        <w:rPr>
          <w:rFonts w:ascii="仿宋_GB2312" w:eastAsia="仿宋_GB2312" w:hint="eastAsia"/>
          <w:sz w:val="32"/>
          <w:szCs w:val="32"/>
        </w:rPr>
        <w:t>。</w:t>
      </w:r>
    </w:p>
    <w:p w:rsidR="006F2423"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Pr>
          <w:rFonts w:ascii="黑体" w:eastAsia="黑体" w:hAnsi="黑体" w:hint="eastAsia"/>
          <w:sz w:val="32"/>
          <w:szCs w:val="32"/>
        </w:rPr>
        <w:t>优化节能审查审批流程</w:t>
      </w:r>
    </w:p>
    <w:p w:rsidR="006F2423" w:rsidRDefault="006F2423" w:rsidP="006F2423">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sz w:val="32"/>
          <w:szCs w:val="32"/>
        </w:rPr>
        <w:t>节能审查意见书不再作为领取施工图审查合格证书的前置条件，但最迟应在施工许可前取得节能审查意见书。未取得节能审查意见书的项目在领取施工图审查合格书时，由</w:t>
      </w:r>
      <w:r>
        <w:rPr>
          <w:rFonts w:ascii="仿宋_GB2312" w:eastAsia="仿宋_GB2312" w:hAnsi="黑体"/>
          <w:sz w:val="32"/>
          <w:szCs w:val="32"/>
        </w:rPr>
        <w:lastRenderedPageBreak/>
        <w:t>建设单位提供承诺函，承诺函应包含下列</w:t>
      </w:r>
      <w:r>
        <w:rPr>
          <w:rFonts w:ascii="仿宋_GB2312" w:eastAsia="仿宋_GB2312" w:hAnsi="黑体" w:hint="eastAsia"/>
          <w:sz w:val="32"/>
          <w:szCs w:val="32"/>
        </w:rPr>
        <w:t>2项</w:t>
      </w:r>
      <w:r>
        <w:rPr>
          <w:rFonts w:ascii="仿宋_GB2312" w:eastAsia="仿宋_GB2312" w:hAnsi="黑体"/>
          <w:sz w:val="32"/>
          <w:szCs w:val="32"/>
        </w:rPr>
        <w:t>内容：（</w:t>
      </w:r>
      <w:r>
        <w:rPr>
          <w:rFonts w:ascii="仿宋_GB2312" w:eastAsia="仿宋_GB2312" w:hAnsi="黑体" w:hint="eastAsia"/>
          <w:sz w:val="32"/>
          <w:szCs w:val="32"/>
        </w:rPr>
        <w:t>1</w:t>
      </w:r>
      <w:r>
        <w:rPr>
          <w:rFonts w:ascii="仿宋_GB2312" w:eastAsia="仿宋_GB2312" w:hAnsi="黑体"/>
          <w:sz w:val="32"/>
          <w:szCs w:val="32"/>
        </w:rPr>
        <w:t>）建设单位、施工图设计单位明确项目已达到规定的绿色建筑星级；（</w:t>
      </w:r>
      <w:r>
        <w:rPr>
          <w:rFonts w:ascii="仿宋_GB2312" w:eastAsia="仿宋_GB2312" w:hAnsi="黑体" w:hint="eastAsia"/>
          <w:sz w:val="32"/>
          <w:szCs w:val="32"/>
        </w:rPr>
        <w:t>2</w:t>
      </w:r>
      <w:r>
        <w:rPr>
          <w:rFonts w:ascii="仿宋_GB2312" w:eastAsia="仿宋_GB2312" w:hAnsi="黑体"/>
          <w:sz w:val="32"/>
          <w:szCs w:val="32"/>
        </w:rPr>
        <w:t>）建设单位明确项目将按承诺的绿色建筑星级进行竣工能效测评，并提供有效的能效测评委托合同。</w:t>
      </w:r>
    </w:p>
    <w:p w:rsidR="006F2423" w:rsidRDefault="006F2423" w:rsidP="006F2423">
      <w:pPr>
        <w:adjustRightInd w:val="0"/>
        <w:snapToGrid w:val="0"/>
        <w:spacing w:line="600" w:lineRule="exact"/>
        <w:ind w:firstLineChars="200" w:firstLine="640"/>
        <w:rPr>
          <w:rFonts w:ascii="仿宋_GB2312" w:eastAsia="仿宋_GB2312" w:hAnsi="黑体"/>
          <w:sz w:val="32"/>
          <w:szCs w:val="32"/>
        </w:rPr>
      </w:pPr>
      <w:r w:rsidRPr="00BE7A8E">
        <w:rPr>
          <w:rFonts w:ascii="仿宋_GB2312" w:eastAsia="仿宋_GB2312" w:hAnsi="黑体" w:hint="eastAsia"/>
          <w:sz w:val="32"/>
          <w:szCs w:val="32"/>
        </w:rPr>
        <w:t>工业项目中的民用建筑不再单独进行民用建筑节能评估</w:t>
      </w:r>
      <w:r>
        <w:rPr>
          <w:rFonts w:ascii="仿宋_GB2312" w:eastAsia="仿宋_GB2312" w:hAnsi="黑体" w:hint="eastAsia"/>
          <w:sz w:val="32"/>
          <w:szCs w:val="32"/>
        </w:rPr>
        <w:t>。</w:t>
      </w:r>
    </w:p>
    <w:p w:rsidR="006F2423" w:rsidRPr="00895866" w:rsidRDefault="006F2423" w:rsidP="006F2423">
      <w:pPr>
        <w:adjustRightInd w:val="0"/>
        <w:snapToGrid w:val="0"/>
        <w:spacing w:line="600" w:lineRule="exact"/>
        <w:ind w:firstLineChars="200" w:firstLine="640"/>
        <w:rPr>
          <w:rFonts w:ascii="楷体_GB2312" w:eastAsia="楷体_GB2312" w:hAnsi="黑体"/>
          <w:i/>
          <w:sz w:val="32"/>
          <w:szCs w:val="32"/>
        </w:rPr>
      </w:pPr>
      <w:r w:rsidRPr="00895866">
        <w:rPr>
          <w:rFonts w:ascii="楷体_GB2312" w:eastAsia="楷体_GB2312" w:hAnsi="黑体" w:hint="eastAsia"/>
          <w:i/>
          <w:sz w:val="32"/>
          <w:szCs w:val="32"/>
        </w:rPr>
        <w:t>政策依据：《关于印发浙江省工程建设项目审批制度改革试点工作实施方案的通知》（浙政办发</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2018</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81号）（七）全面整合施工许可阶段办理环节、（十三）减少审批事项、（十四）调整审批时序</w:t>
      </w:r>
      <w:r>
        <w:rPr>
          <w:rFonts w:ascii="楷体_GB2312" w:eastAsia="楷体_GB2312" w:hAnsi="黑体" w:hint="eastAsia"/>
          <w:i/>
          <w:sz w:val="32"/>
          <w:szCs w:val="32"/>
        </w:rPr>
        <w:t>、（十五）推行告知承诺制。</w:t>
      </w:r>
    </w:p>
    <w:p w:rsidR="006F2423" w:rsidRPr="00C6393B"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Pr>
          <w:rFonts w:ascii="黑体" w:eastAsia="黑体" w:hAnsi="黑体" w:hint="eastAsia"/>
          <w:sz w:val="32"/>
          <w:szCs w:val="32"/>
        </w:rPr>
        <w:t>提高绿色建筑</w:t>
      </w:r>
      <w:r w:rsidRPr="00C6393B">
        <w:rPr>
          <w:rFonts w:ascii="黑体" w:eastAsia="黑体" w:hAnsi="黑体" w:hint="eastAsia"/>
          <w:sz w:val="32"/>
          <w:szCs w:val="32"/>
        </w:rPr>
        <w:t>施工图</w:t>
      </w:r>
      <w:r>
        <w:rPr>
          <w:rFonts w:ascii="黑体" w:eastAsia="黑体" w:hAnsi="黑体" w:hint="eastAsia"/>
          <w:sz w:val="32"/>
          <w:szCs w:val="32"/>
        </w:rPr>
        <w:t>设计的绿色水平</w:t>
      </w:r>
    </w:p>
    <w:p w:rsidR="006F2423" w:rsidRDefault="006F2423" w:rsidP="006F2423">
      <w:pPr>
        <w:adjustRightInd w:val="0"/>
        <w:snapToGrid w:val="0"/>
        <w:spacing w:line="600" w:lineRule="exact"/>
        <w:ind w:firstLineChars="200" w:firstLine="640"/>
        <w:rPr>
          <w:rFonts w:ascii="仿宋_GB2312" w:eastAsia="仿宋_GB2312"/>
          <w:sz w:val="32"/>
          <w:szCs w:val="32"/>
        </w:rPr>
      </w:pPr>
      <w:r w:rsidRPr="00C6393B">
        <w:rPr>
          <w:rFonts w:ascii="仿宋_GB2312" w:eastAsia="仿宋_GB2312" w:hint="eastAsia"/>
          <w:sz w:val="32"/>
          <w:szCs w:val="32"/>
        </w:rPr>
        <w:t>施工图审查机构</w:t>
      </w:r>
      <w:r>
        <w:rPr>
          <w:rFonts w:ascii="仿宋_GB2312" w:eastAsia="仿宋_GB2312" w:hint="eastAsia"/>
          <w:sz w:val="32"/>
          <w:szCs w:val="32"/>
        </w:rPr>
        <w:t>在对施工图审查</w:t>
      </w:r>
      <w:r w:rsidRPr="00C6393B">
        <w:rPr>
          <w:rFonts w:ascii="仿宋_GB2312" w:eastAsia="仿宋_GB2312" w:hint="eastAsia"/>
          <w:sz w:val="32"/>
          <w:szCs w:val="32"/>
        </w:rPr>
        <w:t>时，</w:t>
      </w:r>
      <w:r>
        <w:rPr>
          <w:rFonts w:ascii="仿宋_GB2312" w:eastAsia="仿宋_GB2312" w:hint="eastAsia"/>
          <w:sz w:val="32"/>
          <w:szCs w:val="32"/>
        </w:rPr>
        <w:t>对已取得节能审查意见书的项目，应逐项复核</w:t>
      </w:r>
      <w:r w:rsidRPr="00C6393B">
        <w:rPr>
          <w:rFonts w:ascii="仿宋_GB2312" w:eastAsia="仿宋_GB2312" w:hint="eastAsia"/>
          <w:sz w:val="32"/>
          <w:szCs w:val="32"/>
        </w:rPr>
        <w:t>《宁波市施工图设计文件节能评估复核确认表》</w:t>
      </w:r>
      <w:r>
        <w:rPr>
          <w:rFonts w:ascii="仿宋_GB2312" w:eastAsia="仿宋_GB2312" w:hint="eastAsia"/>
          <w:sz w:val="32"/>
          <w:szCs w:val="32"/>
        </w:rPr>
        <w:t>中相关内容，确保施工图中落实节能评估的绿色建筑各项指标；</w:t>
      </w:r>
    </w:p>
    <w:p w:rsidR="006F2423" w:rsidRDefault="006F2423" w:rsidP="006F2423">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sz w:val="32"/>
          <w:szCs w:val="32"/>
        </w:rPr>
        <w:t>所有按照规定应进行节能审查的项目，施工图审查机构均应在施工图审查合格书上明确项目在施工图阶段的绿色建筑得分及星级。</w:t>
      </w:r>
    </w:p>
    <w:p w:rsidR="006F2423" w:rsidRPr="00895866" w:rsidRDefault="006F2423" w:rsidP="006F2423">
      <w:pPr>
        <w:adjustRightInd w:val="0"/>
        <w:snapToGrid w:val="0"/>
        <w:spacing w:line="600" w:lineRule="exact"/>
        <w:ind w:firstLineChars="200" w:firstLine="640"/>
        <w:rPr>
          <w:rFonts w:ascii="楷体_GB2312" w:eastAsia="楷体_GB2312" w:hAnsi="黑体"/>
          <w:i/>
          <w:sz w:val="32"/>
          <w:szCs w:val="32"/>
        </w:rPr>
      </w:pPr>
      <w:r w:rsidRPr="00895866">
        <w:rPr>
          <w:rFonts w:ascii="楷体_GB2312" w:eastAsia="楷体_GB2312" w:hAnsi="黑体" w:hint="eastAsia"/>
          <w:i/>
          <w:sz w:val="32"/>
          <w:szCs w:val="32"/>
        </w:rPr>
        <w:t>政策依据：《浙江省绿色建筑条例》第十四条</w:t>
      </w:r>
      <w:r>
        <w:rPr>
          <w:rFonts w:ascii="楷体_GB2312" w:eastAsia="楷体_GB2312" w:hAnsi="黑体" w:hint="eastAsia"/>
          <w:i/>
          <w:sz w:val="32"/>
          <w:szCs w:val="32"/>
        </w:rPr>
        <w:t>。</w:t>
      </w:r>
    </w:p>
    <w:p w:rsidR="006F2423" w:rsidRPr="00C6393B"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sidRPr="00C6393B">
        <w:rPr>
          <w:rFonts w:ascii="黑体" w:eastAsia="黑体" w:hAnsi="黑体" w:hint="eastAsia"/>
          <w:sz w:val="32"/>
          <w:szCs w:val="32"/>
        </w:rPr>
        <w:t>规范竣工验收能效测评要求</w:t>
      </w:r>
    </w:p>
    <w:p w:rsidR="006F2423" w:rsidRPr="00080B3E" w:rsidRDefault="006F2423" w:rsidP="006F2423">
      <w:pPr>
        <w:adjustRightInd w:val="0"/>
        <w:snapToGrid w:val="0"/>
        <w:spacing w:line="600" w:lineRule="exact"/>
        <w:ind w:firstLineChars="200" w:firstLine="640"/>
        <w:rPr>
          <w:rFonts w:ascii="楷体_GB2312" w:eastAsia="楷体_GB2312"/>
          <w:sz w:val="32"/>
          <w:szCs w:val="32"/>
        </w:rPr>
      </w:pPr>
      <w:r w:rsidRPr="00080B3E">
        <w:rPr>
          <w:rFonts w:ascii="楷体_GB2312" w:eastAsia="楷体_GB2312"/>
          <w:sz w:val="32"/>
          <w:szCs w:val="32"/>
        </w:rPr>
        <w:t>（一）测评内容</w:t>
      </w:r>
    </w:p>
    <w:p w:rsidR="006F2423" w:rsidRDefault="006F2423" w:rsidP="006F2423">
      <w:pPr>
        <w:adjustRightInd w:val="0"/>
        <w:snapToGrid w:val="0"/>
        <w:spacing w:line="600" w:lineRule="exact"/>
        <w:ind w:firstLineChars="200" w:firstLine="640"/>
        <w:rPr>
          <w:rFonts w:ascii="仿宋_GB2312" w:eastAsia="仿宋_GB2312"/>
          <w:sz w:val="32"/>
          <w:szCs w:val="32"/>
        </w:rPr>
      </w:pPr>
      <w:r w:rsidRPr="00C6393B">
        <w:rPr>
          <w:rFonts w:ascii="仿宋_GB2312" w:eastAsia="仿宋_GB2312" w:hint="eastAsia"/>
          <w:sz w:val="32"/>
          <w:szCs w:val="32"/>
        </w:rPr>
        <w:t>民用建筑能效测评主要内容为：围护结构的节能性能、“四节一环保”技术相关的设备性能，以及绿色建筑星级对</w:t>
      </w:r>
      <w:r w:rsidRPr="00C6393B">
        <w:rPr>
          <w:rFonts w:ascii="仿宋_GB2312" w:eastAsia="仿宋_GB2312" w:hint="eastAsia"/>
          <w:sz w:val="32"/>
          <w:szCs w:val="32"/>
        </w:rPr>
        <w:lastRenderedPageBreak/>
        <w:t>应条款的建设落实情况。能效测评的技术依据为</w:t>
      </w:r>
      <w:r>
        <w:rPr>
          <w:rFonts w:ascii="仿宋_GB2312" w:eastAsia="仿宋_GB2312" w:hint="eastAsia"/>
          <w:sz w:val="32"/>
          <w:szCs w:val="32"/>
        </w:rPr>
        <w:t>国际与地方发布</w:t>
      </w:r>
      <w:r w:rsidRPr="00C6393B">
        <w:rPr>
          <w:rFonts w:ascii="仿宋_GB2312" w:eastAsia="仿宋_GB2312" w:hint="eastAsia"/>
          <w:sz w:val="32"/>
          <w:szCs w:val="32"/>
        </w:rPr>
        <w:t>的能效测评技术导则、绿色建筑评价导则</w:t>
      </w:r>
      <w:r>
        <w:rPr>
          <w:rFonts w:ascii="仿宋_GB2312" w:eastAsia="仿宋_GB2312" w:hint="eastAsia"/>
          <w:sz w:val="32"/>
          <w:szCs w:val="32"/>
        </w:rPr>
        <w:t>、各专业相关标准细则</w:t>
      </w:r>
      <w:r w:rsidRPr="00C6393B">
        <w:rPr>
          <w:rFonts w:ascii="仿宋_GB2312" w:eastAsia="仿宋_GB2312" w:hint="eastAsia"/>
          <w:sz w:val="32"/>
          <w:szCs w:val="32"/>
        </w:rPr>
        <w:t>等。</w:t>
      </w:r>
    </w:p>
    <w:p w:rsidR="006F2423" w:rsidRDefault="006F2423" w:rsidP="006F2423">
      <w:pPr>
        <w:adjustRightInd w:val="0"/>
        <w:snapToGrid w:val="0"/>
        <w:spacing w:line="600" w:lineRule="exact"/>
        <w:ind w:firstLine="648"/>
        <w:rPr>
          <w:rFonts w:ascii="仿宋_GB2312" w:eastAsia="仿宋_GB2312"/>
          <w:sz w:val="32"/>
          <w:szCs w:val="32"/>
        </w:rPr>
      </w:pPr>
      <w:r w:rsidRPr="00C6393B">
        <w:rPr>
          <w:rFonts w:ascii="仿宋_GB2312" w:eastAsia="仿宋_GB2312" w:hint="eastAsia"/>
          <w:sz w:val="32"/>
          <w:szCs w:val="32"/>
        </w:rPr>
        <w:t>新建国家机关办公建筑和总建筑面积一万平方米以上的其他公共建筑，能效测评还应包含建筑用能分项计量及数据采集传输情况，采集数据应接入市级能耗监测平台，</w:t>
      </w:r>
      <w:r>
        <w:rPr>
          <w:rFonts w:ascii="仿宋_GB2312" w:eastAsia="仿宋_GB2312" w:hint="eastAsia"/>
          <w:sz w:val="32"/>
          <w:szCs w:val="32"/>
        </w:rPr>
        <w:t>并能正常运营，不能正常监测能耗数据的项目不得通过能效测评。</w:t>
      </w:r>
    </w:p>
    <w:p w:rsidR="006F2423" w:rsidRPr="00C6393B" w:rsidRDefault="006F2423" w:rsidP="006F2423">
      <w:pPr>
        <w:adjustRightInd w:val="0"/>
        <w:snapToGrid w:val="0"/>
        <w:spacing w:line="600" w:lineRule="exact"/>
        <w:ind w:firstLineChars="200" w:firstLine="640"/>
        <w:rPr>
          <w:rFonts w:ascii="仿宋_GB2312" w:eastAsia="仿宋_GB2312"/>
          <w:sz w:val="32"/>
          <w:szCs w:val="32"/>
        </w:rPr>
      </w:pPr>
      <w:r w:rsidRPr="002A11BD">
        <w:rPr>
          <w:rFonts w:ascii="楷体_GB2312" w:eastAsia="楷体_GB2312" w:hint="eastAsia"/>
          <w:i/>
          <w:sz w:val="32"/>
          <w:szCs w:val="32"/>
        </w:rPr>
        <w:t>政策依据：《浙</w:t>
      </w:r>
      <w:r w:rsidRPr="00595AB1">
        <w:rPr>
          <w:rFonts w:ascii="楷体_GB2312" w:eastAsia="楷体_GB2312" w:hint="eastAsia"/>
          <w:i/>
          <w:sz w:val="32"/>
          <w:szCs w:val="32"/>
        </w:rPr>
        <w:t>江省绿色建筑条例》</w:t>
      </w:r>
      <w:r>
        <w:rPr>
          <w:rFonts w:ascii="楷体_GB2312" w:eastAsia="楷体_GB2312" w:hint="eastAsia"/>
          <w:i/>
          <w:sz w:val="32"/>
          <w:szCs w:val="32"/>
        </w:rPr>
        <w:t>第十一条、第十六条、第二十条、第二十二条。</w:t>
      </w:r>
    </w:p>
    <w:p w:rsidR="006F2423" w:rsidRPr="00C6393B" w:rsidRDefault="006F2423" w:rsidP="006F2423">
      <w:pPr>
        <w:adjustRightInd w:val="0"/>
        <w:snapToGrid w:val="0"/>
        <w:spacing w:line="600" w:lineRule="exact"/>
        <w:ind w:firstLineChars="200" w:firstLine="640"/>
        <w:rPr>
          <w:rFonts w:ascii="楷体_GB2312" w:eastAsia="楷体_GB2312"/>
          <w:sz w:val="32"/>
          <w:szCs w:val="32"/>
        </w:rPr>
      </w:pPr>
      <w:r w:rsidRPr="00C6393B">
        <w:rPr>
          <w:rFonts w:ascii="楷体_GB2312" w:eastAsia="楷体_GB2312" w:hint="eastAsia"/>
          <w:sz w:val="32"/>
          <w:szCs w:val="32"/>
        </w:rPr>
        <w:t>（二）测评</w:t>
      </w:r>
      <w:r>
        <w:rPr>
          <w:rFonts w:ascii="楷体_GB2312" w:eastAsia="楷体_GB2312" w:hint="eastAsia"/>
          <w:sz w:val="32"/>
          <w:szCs w:val="32"/>
        </w:rPr>
        <w:t>要求</w:t>
      </w:r>
    </w:p>
    <w:p w:rsidR="006F2423" w:rsidRDefault="006F2423" w:rsidP="006F2423">
      <w:pPr>
        <w:adjustRightInd w:val="0"/>
        <w:snapToGrid w:val="0"/>
        <w:spacing w:line="600" w:lineRule="exact"/>
        <w:ind w:firstLineChars="200" w:firstLine="640"/>
        <w:rPr>
          <w:rFonts w:ascii="仿宋_GB2312" w:eastAsia="仿宋_GB2312"/>
          <w:sz w:val="32"/>
          <w:szCs w:val="32"/>
        </w:rPr>
      </w:pPr>
      <w:r w:rsidRPr="00C6393B">
        <w:rPr>
          <w:rFonts w:ascii="仿宋_GB2312" w:eastAsia="仿宋_GB2312" w:hint="eastAsia"/>
          <w:sz w:val="32"/>
          <w:szCs w:val="32"/>
        </w:rPr>
        <w:t>总建筑面积10000平方米及以上的公共建筑和50000平方米及以上的居住建筑，能效测评应以测为主，测评结合；绿色建筑星级对应技术条款的能效测评</w:t>
      </w:r>
      <w:r>
        <w:rPr>
          <w:rFonts w:ascii="仿宋_GB2312" w:eastAsia="仿宋_GB2312" w:hint="eastAsia"/>
          <w:sz w:val="32"/>
          <w:szCs w:val="32"/>
        </w:rPr>
        <w:t>原则上均</w:t>
      </w:r>
      <w:r w:rsidRPr="00C6393B">
        <w:rPr>
          <w:rFonts w:ascii="仿宋_GB2312" w:eastAsia="仿宋_GB2312" w:hint="eastAsia"/>
          <w:sz w:val="32"/>
          <w:szCs w:val="32"/>
        </w:rPr>
        <w:t>应有现场实测</w:t>
      </w:r>
      <w:r>
        <w:rPr>
          <w:rFonts w:ascii="仿宋_GB2312" w:eastAsia="仿宋_GB2312" w:hint="eastAsia"/>
          <w:sz w:val="32"/>
          <w:szCs w:val="32"/>
        </w:rPr>
        <w:t>；各类有检测、测绘资质的机构出具的检测报告可互通互用。</w:t>
      </w:r>
    </w:p>
    <w:p w:rsidR="006F2423" w:rsidRDefault="006F2423" w:rsidP="006F2423">
      <w:pPr>
        <w:adjustRightInd w:val="0"/>
        <w:snapToGrid w:val="0"/>
        <w:spacing w:line="600" w:lineRule="exact"/>
        <w:ind w:firstLineChars="200" w:firstLine="640"/>
        <w:rPr>
          <w:rFonts w:ascii="仿宋_GB2312" w:eastAsia="仿宋_GB2312"/>
          <w:sz w:val="32"/>
          <w:szCs w:val="32"/>
        </w:rPr>
      </w:pPr>
      <w:r>
        <w:rPr>
          <w:rFonts w:ascii="仿宋_GB2312" w:eastAsia="仿宋_GB2312"/>
          <w:sz w:val="32"/>
          <w:szCs w:val="32"/>
        </w:rPr>
        <w:t>能效测评内容和测评结果是竣工验收资料的组成材料之一，应按规定存档备案；竣工资料未包含建筑能效测评报告，或能效测评结论不合格的，不得竣工备案</w:t>
      </w:r>
      <w:r>
        <w:rPr>
          <w:rFonts w:ascii="仿宋_GB2312" w:eastAsia="仿宋_GB2312" w:hint="eastAsia"/>
          <w:sz w:val="32"/>
          <w:szCs w:val="32"/>
        </w:rPr>
        <w:t>。</w:t>
      </w:r>
    </w:p>
    <w:p w:rsidR="006F2423" w:rsidRDefault="006F2423" w:rsidP="006F2423">
      <w:pPr>
        <w:adjustRightInd w:val="0"/>
        <w:snapToGrid w:val="0"/>
        <w:spacing w:line="600" w:lineRule="exact"/>
        <w:ind w:firstLine="648"/>
        <w:rPr>
          <w:rFonts w:ascii="仿宋_GB2312" w:eastAsia="仿宋_GB2312"/>
          <w:sz w:val="32"/>
          <w:szCs w:val="32"/>
        </w:rPr>
      </w:pPr>
      <w:r w:rsidRPr="00595AB1">
        <w:rPr>
          <w:rFonts w:ascii="楷体_GB2312" w:eastAsia="楷体_GB2312" w:hint="eastAsia"/>
          <w:i/>
          <w:sz w:val="32"/>
          <w:szCs w:val="32"/>
        </w:rPr>
        <w:t>政策依据：《浙江省绿色建筑条例》第十二条</w:t>
      </w:r>
      <w:r>
        <w:rPr>
          <w:rFonts w:ascii="楷体_GB2312" w:eastAsia="楷体_GB2312" w:hint="eastAsia"/>
          <w:i/>
          <w:sz w:val="32"/>
          <w:szCs w:val="32"/>
        </w:rPr>
        <w:t>、第十六条</w:t>
      </w:r>
      <w:r w:rsidRPr="00595AB1">
        <w:rPr>
          <w:rFonts w:ascii="楷体_GB2312" w:eastAsia="楷体_GB2312" w:hint="eastAsia"/>
          <w:i/>
          <w:sz w:val="32"/>
          <w:szCs w:val="32"/>
        </w:rPr>
        <w:t>；</w:t>
      </w:r>
      <w:r w:rsidRPr="00895866">
        <w:rPr>
          <w:rFonts w:ascii="楷体_GB2312" w:eastAsia="楷体_GB2312" w:hAnsi="黑体" w:hint="eastAsia"/>
          <w:i/>
          <w:sz w:val="32"/>
          <w:szCs w:val="32"/>
        </w:rPr>
        <w:t>《关于印发浙江省工程建设项目审批制度改革试点工作实施方案的通知》（浙政办发</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2018</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81号）</w:t>
      </w:r>
      <w:r>
        <w:rPr>
          <w:rFonts w:ascii="楷体_GB2312" w:eastAsia="楷体_GB2312" w:hAnsi="黑体" w:hint="eastAsia"/>
          <w:i/>
          <w:sz w:val="32"/>
          <w:szCs w:val="32"/>
        </w:rPr>
        <w:t>（八）全面整合竣工验收阶段办理环节。</w:t>
      </w:r>
    </w:p>
    <w:p w:rsidR="006F2423" w:rsidRPr="00C6393B"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sidRPr="00C6393B">
        <w:rPr>
          <w:rFonts w:ascii="黑体" w:eastAsia="黑体" w:hAnsi="黑体" w:hint="eastAsia"/>
          <w:sz w:val="32"/>
          <w:szCs w:val="32"/>
        </w:rPr>
        <w:t>全面公开绿色建筑信息</w:t>
      </w:r>
    </w:p>
    <w:p w:rsidR="006F2423" w:rsidRPr="00D439E7" w:rsidRDefault="006F2423" w:rsidP="006F2423">
      <w:pPr>
        <w:adjustRightInd w:val="0"/>
        <w:snapToGrid w:val="0"/>
        <w:spacing w:line="600" w:lineRule="exact"/>
        <w:ind w:firstLineChars="200" w:firstLine="640"/>
        <w:rPr>
          <w:rFonts w:ascii="楷体_GB2312" w:eastAsia="楷体_GB2312"/>
          <w:sz w:val="32"/>
          <w:szCs w:val="32"/>
        </w:rPr>
      </w:pPr>
      <w:r w:rsidRPr="00D439E7">
        <w:rPr>
          <w:rFonts w:ascii="楷体_GB2312" w:eastAsia="楷体_GB2312"/>
          <w:sz w:val="32"/>
          <w:szCs w:val="32"/>
        </w:rPr>
        <w:lastRenderedPageBreak/>
        <w:t>（一）建设行政主管部门</w:t>
      </w:r>
      <w:r>
        <w:rPr>
          <w:rFonts w:ascii="楷体_GB2312" w:eastAsia="楷体_GB2312"/>
          <w:sz w:val="32"/>
          <w:szCs w:val="32"/>
        </w:rPr>
        <w:t>的信息公开</w:t>
      </w:r>
    </w:p>
    <w:p w:rsidR="006F2423" w:rsidRDefault="006F2423" w:rsidP="006F2423">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民用建筑项目竣工验收后，负责验收备案的建设行政主管部门应于备案后5个工作日内在当地政务网公示项目的绿色建筑星级、能效测评结果、建设单位、设计单位、审图机构、节能评估公司等相关责任信息。</w:t>
      </w:r>
    </w:p>
    <w:p w:rsidR="006F2423" w:rsidRPr="00AD36B7" w:rsidRDefault="006F2423" w:rsidP="006F2423">
      <w:pPr>
        <w:adjustRightInd w:val="0"/>
        <w:snapToGrid w:val="0"/>
        <w:spacing w:line="600" w:lineRule="exact"/>
        <w:ind w:firstLineChars="200" w:firstLine="640"/>
        <w:rPr>
          <w:rFonts w:ascii="楷体_GB2312" w:eastAsia="楷体_GB2312"/>
          <w:i/>
          <w:sz w:val="32"/>
          <w:szCs w:val="32"/>
        </w:rPr>
      </w:pPr>
      <w:r w:rsidRPr="00AD36B7">
        <w:rPr>
          <w:rFonts w:ascii="楷体_GB2312" w:eastAsia="楷体_GB2312" w:hint="eastAsia"/>
          <w:i/>
          <w:sz w:val="32"/>
          <w:szCs w:val="32"/>
        </w:rPr>
        <w:t>政策依据：《浙江省绿色建筑条例》第十七条</w:t>
      </w:r>
      <w:r>
        <w:rPr>
          <w:rFonts w:ascii="楷体_GB2312" w:eastAsia="楷体_GB2312" w:hint="eastAsia"/>
          <w:i/>
          <w:sz w:val="32"/>
          <w:szCs w:val="32"/>
        </w:rPr>
        <w:t>。</w:t>
      </w:r>
    </w:p>
    <w:p w:rsidR="006F2423" w:rsidRPr="00D66DD5" w:rsidRDefault="006F2423" w:rsidP="006F2423">
      <w:pPr>
        <w:adjustRightInd w:val="0"/>
        <w:snapToGrid w:val="0"/>
        <w:spacing w:line="600" w:lineRule="exact"/>
        <w:ind w:firstLineChars="200" w:firstLine="640"/>
        <w:rPr>
          <w:rFonts w:ascii="楷体_GB2312" w:eastAsia="楷体_GB2312"/>
          <w:sz w:val="32"/>
          <w:szCs w:val="32"/>
        </w:rPr>
      </w:pPr>
      <w:r>
        <w:rPr>
          <w:rFonts w:ascii="楷体_GB2312" w:eastAsia="楷体_GB2312"/>
          <w:sz w:val="32"/>
          <w:szCs w:val="32"/>
        </w:rPr>
        <w:t>（二）建设过程中责任单位的信息公示</w:t>
      </w:r>
    </w:p>
    <w:p w:rsidR="006F2423" w:rsidRDefault="006F2423" w:rsidP="006F2423">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绿色建筑商品房应在施工现场明确绿色建筑星级、绿色施工方案、绿色监理方案。绿色建筑商品房的销售现场、</w:t>
      </w:r>
      <w:r w:rsidRPr="00C6393B">
        <w:rPr>
          <w:rFonts w:ascii="仿宋_GB2312" w:eastAsia="仿宋_GB2312" w:hint="eastAsia"/>
          <w:sz w:val="32"/>
          <w:szCs w:val="32"/>
        </w:rPr>
        <w:t>售房合同</w:t>
      </w:r>
      <w:r>
        <w:rPr>
          <w:rFonts w:ascii="仿宋_GB2312" w:eastAsia="仿宋_GB2312" w:hint="eastAsia"/>
          <w:sz w:val="32"/>
          <w:szCs w:val="32"/>
        </w:rPr>
        <w:t>或住宅质量保证书（说明书）应</w:t>
      </w:r>
      <w:r w:rsidRPr="00C6393B">
        <w:rPr>
          <w:rFonts w:ascii="仿宋_GB2312" w:eastAsia="仿宋_GB2312" w:hint="eastAsia"/>
          <w:sz w:val="32"/>
          <w:szCs w:val="32"/>
        </w:rPr>
        <w:t>明确绿色建筑星级、可再生能源设施</w:t>
      </w:r>
      <w:r>
        <w:rPr>
          <w:rFonts w:ascii="仿宋_GB2312" w:eastAsia="仿宋_GB2312" w:hint="eastAsia"/>
          <w:sz w:val="32"/>
          <w:szCs w:val="32"/>
        </w:rPr>
        <w:t>免费</w:t>
      </w:r>
      <w:r w:rsidRPr="00C6393B">
        <w:rPr>
          <w:rFonts w:ascii="仿宋_GB2312" w:eastAsia="仿宋_GB2312" w:hint="eastAsia"/>
          <w:sz w:val="32"/>
          <w:szCs w:val="32"/>
        </w:rPr>
        <w:t>保修期</w:t>
      </w:r>
      <w:r>
        <w:rPr>
          <w:rFonts w:ascii="仿宋_GB2312" w:eastAsia="仿宋_GB2312" w:hint="eastAsia"/>
          <w:sz w:val="32"/>
          <w:szCs w:val="32"/>
        </w:rPr>
        <w:t>等内容。</w:t>
      </w:r>
    </w:p>
    <w:p w:rsidR="006F2423" w:rsidRDefault="006F2423" w:rsidP="006F2423">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绿色建筑项目的商品房销售（补充）合同、商品房质量保证书、商品房说明书中应明确未达到绿色建筑星级的违约责任，违约责任应量化赔偿额度。</w:t>
      </w:r>
    </w:p>
    <w:p w:rsidR="006F2423" w:rsidRDefault="006F2423" w:rsidP="006F2423">
      <w:pPr>
        <w:adjustRightInd w:val="0"/>
        <w:snapToGrid w:val="0"/>
        <w:spacing w:line="600" w:lineRule="exact"/>
        <w:ind w:firstLineChars="200" w:firstLine="640"/>
        <w:rPr>
          <w:rFonts w:ascii="楷体_GB2312" w:eastAsia="楷体_GB2312"/>
          <w:i/>
          <w:sz w:val="32"/>
          <w:szCs w:val="32"/>
        </w:rPr>
      </w:pPr>
      <w:r w:rsidRPr="00AD36B7">
        <w:rPr>
          <w:rFonts w:ascii="楷体_GB2312" w:eastAsia="楷体_GB2312" w:hint="eastAsia"/>
          <w:i/>
          <w:sz w:val="32"/>
          <w:szCs w:val="32"/>
        </w:rPr>
        <w:t>政策依据：《浙江省绿色建筑条例》第十</w:t>
      </w:r>
      <w:r>
        <w:rPr>
          <w:rFonts w:ascii="楷体_GB2312" w:eastAsia="楷体_GB2312" w:hint="eastAsia"/>
          <w:i/>
          <w:sz w:val="32"/>
          <w:szCs w:val="32"/>
        </w:rPr>
        <w:t>九</w:t>
      </w:r>
      <w:r w:rsidRPr="00AD36B7">
        <w:rPr>
          <w:rFonts w:ascii="楷体_GB2312" w:eastAsia="楷体_GB2312" w:hint="eastAsia"/>
          <w:i/>
          <w:sz w:val="32"/>
          <w:szCs w:val="32"/>
        </w:rPr>
        <w:t>条</w:t>
      </w:r>
      <w:r>
        <w:rPr>
          <w:rFonts w:ascii="楷体_GB2312" w:eastAsia="楷体_GB2312" w:hint="eastAsia"/>
          <w:i/>
          <w:sz w:val="32"/>
          <w:szCs w:val="32"/>
        </w:rPr>
        <w:t>。</w:t>
      </w:r>
    </w:p>
    <w:p w:rsidR="006F2423" w:rsidRPr="005065BB"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sidRPr="005065BB">
        <w:rPr>
          <w:rFonts w:ascii="黑体" w:eastAsia="黑体" w:hAnsi="黑体"/>
          <w:sz w:val="32"/>
          <w:szCs w:val="32"/>
        </w:rPr>
        <w:t>严格绿色建筑</w:t>
      </w:r>
      <w:r>
        <w:rPr>
          <w:rFonts w:ascii="黑体" w:eastAsia="黑体" w:hAnsi="黑体"/>
          <w:sz w:val="32"/>
          <w:szCs w:val="32"/>
        </w:rPr>
        <w:t>事中事后</w:t>
      </w:r>
      <w:r w:rsidRPr="005065BB">
        <w:rPr>
          <w:rFonts w:ascii="黑体" w:eastAsia="黑体" w:hAnsi="黑体"/>
          <w:sz w:val="32"/>
          <w:szCs w:val="32"/>
        </w:rPr>
        <w:t>监管</w:t>
      </w:r>
    </w:p>
    <w:p w:rsidR="006F2423" w:rsidRDefault="006F2423" w:rsidP="006F2423">
      <w:pPr>
        <w:pStyle w:val="a3"/>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各级建设行政主管部门，以及所属的</w:t>
      </w:r>
      <w:r w:rsidRPr="00C6393B">
        <w:rPr>
          <w:rFonts w:ascii="仿宋_GB2312" w:eastAsia="仿宋_GB2312" w:hint="eastAsia"/>
          <w:sz w:val="32"/>
          <w:szCs w:val="32"/>
        </w:rPr>
        <w:t>房产</w:t>
      </w:r>
      <w:r>
        <w:rPr>
          <w:rFonts w:ascii="仿宋_GB2312" w:eastAsia="仿宋_GB2312" w:hint="eastAsia"/>
          <w:sz w:val="32"/>
          <w:szCs w:val="32"/>
        </w:rPr>
        <w:t>建设</w:t>
      </w:r>
      <w:r w:rsidRPr="00C6393B">
        <w:rPr>
          <w:rFonts w:ascii="仿宋_GB2312" w:eastAsia="仿宋_GB2312" w:hint="eastAsia"/>
          <w:sz w:val="32"/>
          <w:szCs w:val="32"/>
        </w:rPr>
        <w:t>监察</w:t>
      </w:r>
      <w:r>
        <w:rPr>
          <w:rFonts w:ascii="仿宋_GB2312" w:eastAsia="仿宋_GB2312" w:hint="eastAsia"/>
          <w:sz w:val="32"/>
          <w:szCs w:val="32"/>
        </w:rPr>
        <w:t>部门、建筑工程质量安全监督部门应加强对绿色建筑项目全过程的监督管理，</w:t>
      </w:r>
      <w:r w:rsidRPr="00C6393B">
        <w:rPr>
          <w:rFonts w:ascii="仿宋_GB2312" w:eastAsia="仿宋_GB2312" w:hint="eastAsia"/>
          <w:sz w:val="32"/>
          <w:szCs w:val="32"/>
        </w:rPr>
        <w:t>对违反绿色建筑分项计量、信息公示、</w:t>
      </w:r>
      <w:r>
        <w:rPr>
          <w:rFonts w:ascii="仿宋_GB2312" w:eastAsia="仿宋_GB2312" w:hint="eastAsia"/>
          <w:sz w:val="32"/>
          <w:szCs w:val="32"/>
        </w:rPr>
        <w:t>能效测评、</w:t>
      </w:r>
      <w:r w:rsidRPr="00C6393B">
        <w:rPr>
          <w:rFonts w:ascii="仿宋_GB2312" w:eastAsia="仿宋_GB2312" w:hint="eastAsia"/>
          <w:sz w:val="32"/>
          <w:szCs w:val="32"/>
        </w:rPr>
        <w:t>竣工验收</w:t>
      </w:r>
      <w:r>
        <w:rPr>
          <w:rFonts w:ascii="仿宋_GB2312" w:eastAsia="仿宋_GB2312" w:hint="eastAsia"/>
          <w:sz w:val="32"/>
          <w:szCs w:val="32"/>
        </w:rPr>
        <w:t>等相关规定的单位，</w:t>
      </w:r>
      <w:r w:rsidRPr="00C6393B">
        <w:rPr>
          <w:rFonts w:ascii="仿宋_GB2312" w:eastAsia="仿宋_GB2312" w:hint="eastAsia"/>
          <w:sz w:val="32"/>
          <w:szCs w:val="32"/>
        </w:rPr>
        <w:t>按照《浙江省绿色建筑条例》</w:t>
      </w:r>
      <w:r>
        <w:rPr>
          <w:rFonts w:ascii="仿宋_GB2312" w:eastAsia="仿宋_GB2312" w:hint="eastAsia"/>
          <w:sz w:val="32"/>
          <w:szCs w:val="32"/>
        </w:rPr>
        <w:t>相关规定监察执法</w:t>
      </w:r>
      <w:r w:rsidRPr="00C6393B">
        <w:rPr>
          <w:rFonts w:ascii="仿宋_GB2312" w:eastAsia="仿宋_GB2312" w:hint="eastAsia"/>
          <w:sz w:val="32"/>
          <w:szCs w:val="32"/>
        </w:rPr>
        <w:t>。</w:t>
      </w:r>
    </w:p>
    <w:p w:rsidR="006F2423" w:rsidRDefault="006F2423" w:rsidP="006F2423">
      <w:pPr>
        <w:pStyle w:val="a3"/>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各地建设行政主管部门应严格贯彻《浙江省绿色建筑条例》有关提升民用建筑绿色化水平的相关规定，对《浙江省</w:t>
      </w:r>
      <w:r>
        <w:rPr>
          <w:rFonts w:ascii="仿宋_GB2312" w:eastAsia="仿宋_GB2312" w:hint="eastAsia"/>
          <w:sz w:val="32"/>
          <w:szCs w:val="32"/>
        </w:rPr>
        <w:lastRenderedPageBreak/>
        <w:t>绿色建筑条例》实施之日起通过节能审查的项目开展回头看，通过自查自纠，落实用能分项计量、能效测评、合同中约定绿色建筑星级、验收通过项目的绿色建筑信息公示等内容。</w:t>
      </w:r>
    </w:p>
    <w:p w:rsidR="006F2423" w:rsidRDefault="006F2423" w:rsidP="006F2423">
      <w:pPr>
        <w:adjustRightInd w:val="0"/>
        <w:snapToGrid w:val="0"/>
        <w:spacing w:line="600" w:lineRule="exact"/>
        <w:ind w:firstLineChars="200" w:firstLine="640"/>
        <w:rPr>
          <w:rFonts w:ascii="楷体_GB2312" w:eastAsia="楷体_GB2312"/>
          <w:i/>
          <w:sz w:val="32"/>
          <w:szCs w:val="32"/>
        </w:rPr>
      </w:pPr>
      <w:r>
        <w:rPr>
          <w:rFonts w:ascii="楷体_GB2312" w:eastAsia="楷体_GB2312" w:hint="eastAsia"/>
          <w:i/>
          <w:sz w:val="32"/>
          <w:szCs w:val="32"/>
        </w:rPr>
        <w:t>政策依据：《浙江省绿色建筑条例》第四十四条、第四十五条、第四十六条、第四十七条、第四十八条。</w:t>
      </w:r>
      <w:r w:rsidRPr="00895866">
        <w:rPr>
          <w:rFonts w:ascii="楷体_GB2312" w:eastAsia="楷体_GB2312" w:hAnsi="黑体" w:hint="eastAsia"/>
          <w:i/>
          <w:sz w:val="32"/>
          <w:szCs w:val="32"/>
        </w:rPr>
        <w:t>《关于印发浙江省工程建设项目审批制度改革试点工作实施方案的通知》（浙政办发</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2018</w:t>
      </w:r>
      <w:r w:rsidRPr="00895866">
        <w:rPr>
          <w:rFonts w:ascii="楷体_GB2312" w:eastAsia="楷体_GB2312" w:hAnsi="宋体" w:hint="eastAsia"/>
          <w:i/>
          <w:sz w:val="32"/>
          <w:szCs w:val="32"/>
        </w:rPr>
        <w:t>〕</w:t>
      </w:r>
      <w:r w:rsidRPr="00895866">
        <w:rPr>
          <w:rFonts w:ascii="楷体_GB2312" w:eastAsia="楷体_GB2312" w:hAnsi="黑体" w:hint="eastAsia"/>
          <w:i/>
          <w:sz w:val="32"/>
          <w:szCs w:val="32"/>
        </w:rPr>
        <w:t>81号）</w:t>
      </w:r>
      <w:r>
        <w:rPr>
          <w:rFonts w:ascii="楷体_GB2312" w:eastAsia="楷体_GB2312" w:hAnsi="黑体" w:hint="eastAsia"/>
          <w:i/>
          <w:sz w:val="32"/>
          <w:szCs w:val="32"/>
        </w:rPr>
        <w:t>（二十一）加强事中事后监管。</w:t>
      </w:r>
    </w:p>
    <w:p w:rsidR="006F2423" w:rsidRPr="00C10453" w:rsidRDefault="006F2423" w:rsidP="006F2423">
      <w:pPr>
        <w:pStyle w:val="a3"/>
        <w:numPr>
          <w:ilvl w:val="0"/>
          <w:numId w:val="1"/>
        </w:numPr>
        <w:adjustRightInd w:val="0"/>
        <w:snapToGrid w:val="0"/>
        <w:spacing w:line="600" w:lineRule="exact"/>
        <w:ind w:firstLineChars="0"/>
        <w:rPr>
          <w:rFonts w:ascii="黑体" w:eastAsia="黑体" w:hAnsi="黑体"/>
          <w:sz w:val="32"/>
          <w:szCs w:val="32"/>
        </w:rPr>
      </w:pPr>
      <w:r w:rsidRPr="00C10453">
        <w:rPr>
          <w:rFonts w:ascii="黑体" w:eastAsia="黑体" w:hAnsi="黑体"/>
          <w:sz w:val="32"/>
          <w:szCs w:val="32"/>
        </w:rPr>
        <w:t>加强绿色建筑运营维护管理</w:t>
      </w:r>
    </w:p>
    <w:p w:rsidR="006F2423" w:rsidRDefault="006F2423" w:rsidP="006F2423">
      <w:pPr>
        <w:pStyle w:val="a3"/>
        <w:adjustRightInd w:val="0"/>
        <w:snapToGrid w:val="0"/>
        <w:spacing w:line="600" w:lineRule="exact"/>
        <w:ind w:firstLine="640"/>
        <w:rPr>
          <w:rFonts w:ascii="仿宋_GB2312" w:eastAsia="仿宋_GB2312"/>
          <w:sz w:val="32"/>
          <w:szCs w:val="32"/>
        </w:rPr>
      </w:pPr>
      <w:r w:rsidRPr="00C6393B">
        <w:rPr>
          <w:rFonts w:ascii="仿宋_GB2312" w:eastAsia="仿宋_GB2312" w:hint="eastAsia"/>
          <w:sz w:val="32"/>
          <w:szCs w:val="32"/>
        </w:rPr>
        <w:t>市</w:t>
      </w:r>
      <w:r>
        <w:rPr>
          <w:rFonts w:ascii="仿宋_GB2312" w:eastAsia="仿宋_GB2312" w:hint="eastAsia"/>
          <w:sz w:val="32"/>
          <w:szCs w:val="32"/>
        </w:rPr>
        <w:t>城乡建设信息化</w:t>
      </w:r>
      <w:r w:rsidRPr="00C6393B">
        <w:rPr>
          <w:rFonts w:ascii="仿宋_GB2312" w:eastAsia="仿宋_GB2312" w:hint="eastAsia"/>
          <w:sz w:val="32"/>
          <w:szCs w:val="32"/>
        </w:rPr>
        <w:t>部门应做好</w:t>
      </w:r>
      <w:r>
        <w:rPr>
          <w:rFonts w:ascii="仿宋_GB2312" w:eastAsia="仿宋_GB2312" w:hint="eastAsia"/>
          <w:sz w:val="32"/>
          <w:szCs w:val="32"/>
        </w:rPr>
        <w:t>市级建筑能耗监测平台的运营维护，以及新建项目的数据接入确认工作。</w:t>
      </w:r>
    </w:p>
    <w:p w:rsidR="006F2423" w:rsidRDefault="006F2423" w:rsidP="006F2423">
      <w:pPr>
        <w:pStyle w:val="a3"/>
        <w:adjustRightInd w:val="0"/>
        <w:snapToGrid w:val="0"/>
        <w:spacing w:line="600" w:lineRule="exact"/>
        <w:ind w:firstLine="640"/>
        <w:rPr>
          <w:rFonts w:ascii="仿宋_GB2312" w:eastAsia="仿宋_GB2312"/>
          <w:sz w:val="32"/>
          <w:szCs w:val="32"/>
        </w:rPr>
      </w:pPr>
      <w:r>
        <w:rPr>
          <w:rFonts w:ascii="仿宋_GB2312" w:eastAsia="仿宋_GB2312"/>
          <w:sz w:val="32"/>
          <w:szCs w:val="32"/>
        </w:rPr>
        <w:t>各级建设行政主管部门应加强建筑运营过程中能耗信息统计与实时监测工作，。</w:t>
      </w:r>
    </w:p>
    <w:p w:rsidR="006F2423" w:rsidRDefault="006F2423" w:rsidP="006F2423">
      <w:pPr>
        <w:pStyle w:val="a3"/>
        <w:adjustRightInd w:val="0"/>
        <w:snapToGrid w:val="0"/>
        <w:spacing w:line="600" w:lineRule="exact"/>
        <w:ind w:firstLine="640"/>
        <w:rPr>
          <w:rFonts w:ascii="仿宋_GB2312" w:eastAsia="仿宋_GB2312"/>
          <w:sz w:val="32"/>
          <w:szCs w:val="32"/>
        </w:rPr>
      </w:pPr>
      <w:r>
        <w:rPr>
          <w:rFonts w:ascii="仿宋_GB2312" w:eastAsia="仿宋_GB2312"/>
          <w:sz w:val="32"/>
          <w:szCs w:val="32"/>
        </w:rPr>
        <w:t>各级建设行政主管部门所属的物业运营管理部门，应加强对物业服务企业的用能管理监督，建立完善的运营维护制度，确保绿色建筑节能、节水、用电传输、供暖通风等设备的正常运营。</w:t>
      </w:r>
    </w:p>
    <w:p w:rsidR="006F2423" w:rsidRPr="00E66B5C" w:rsidRDefault="006F2423" w:rsidP="006F2423">
      <w:pPr>
        <w:pStyle w:val="a3"/>
        <w:adjustRightInd w:val="0"/>
        <w:snapToGrid w:val="0"/>
        <w:spacing w:line="600" w:lineRule="exact"/>
        <w:ind w:firstLine="640"/>
        <w:rPr>
          <w:rFonts w:ascii="仿宋_GB2312" w:eastAsia="仿宋_GB2312"/>
          <w:sz w:val="32"/>
          <w:szCs w:val="32"/>
        </w:rPr>
      </w:pPr>
      <w:r>
        <w:rPr>
          <w:rFonts w:ascii="楷体_GB2312" w:eastAsia="楷体_GB2312" w:hint="eastAsia"/>
          <w:i/>
          <w:sz w:val="32"/>
          <w:szCs w:val="32"/>
        </w:rPr>
        <w:t>政策依据：《浙江省绿色建筑条例》第二十条、第二十二条、第二十三条。</w:t>
      </w:r>
    </w:p>
    <w:p w:rsidR="006F2423" w:rsidRDefault="006F2423" w:rsidP="006F2423">
      <w:pPr>
        <w:pStyle w:val="a3"/>
        <w:adjustRightInd w:val="0"/>
        <w:snapToGrid w:val="0"/>
        <w:spacing w:line="600" w:lineRule="exact"/>
        <w:ind w:firstLine="640"/>
        <w:rPr>
          <w:rFonts w:ascii="仿宋_GB2312" w:eastAsia="仿宋_GB2312"/>
          <w:sz w:val="32"/>
          <w:szCs w:val="32"/>
        </w:rPr>
      </w:pPr>
    </w:p>
    <w:p w:rsidR="006F2423" w:rsidRDefault="006F2423" w:rsidP="006F2423">
      <w:pPr>
        <w:pStyle w:val="a3"/>
        <w:adjustRightInd w:val="0"/>
        <w:snapToGrid w:val="0"/>
        <w:spacing w:line="600" w:lineRule="exact"/>
        <w:ind w:firstLine="640"/>
        <w:rPr>
          <w:rFonts w:ascii="仿宋_GB2312" w:eastAsia="仿宋_GB2312"/>
          <w:sz w:val="32"/>
          <w:szCs w:val="32"/>
        </w:rPr>
      </w:pPr>
    </w:p>
    <w:p w:rsidR="006F2423" w:rsidRDefault="006F2423" w:rsidP="006F2423">
      <w:pPr>
        <w:pStyle w:val="a3"/>
        <w:adjustRightInd w:val="0"/>
        <w:snapToGrid w:val="0"/>
        <w:spacing w:line="600" w:lineRule="exact"/>
        <w:ind w:firstLine="640"/>
        <w:jc w:val="right"/>
        <w:rPr>
          <w:rFonts w:ascii="仿宋_GB2312" w:eastAsia="仿宋_GB2312"/>
          <w:sz w:val="32"/>
          <w:szCs w:val="32"/>
        </w:rPr>
      </w:pPr>
      <w:r>
        <w:rPr>
          <w:rFonts w:ascii="仿宋_GB2312" w:eastAsia="仿宋_GB2312"/>
          <w:sz w:val="32"/>
          <w:szCs w:val="32"/>
        </w:rPr>
        <w:t>宁波市住房和城乡建设委员会</w:t>
      </w:r>
    </w:p>
    <w:p w:rsidR="006F2423" w:rsidRPr="00C6393B" w:rsidRDefault="006F2423" w:rsidP="006F2423">
      <w:pPr>
        <w:pStyle w:val="a3"/>
        <w:wordWrap w:val="0"/>
        <w:adjustRightInd w:val="0"/>
        <w:snapToGrid w:val="0"/>
        <w:spacing w:line="600" w:lineRule="exact"/>
        <w:ind w:firstLine="640"/>
        <w:jc w:val="right"/>
        <w:rPr>
          <w:rFonts w:ascii="仿宋_GB2312" w:eastAsia="仿宋_GB2312"/>
          <w:sz w:val="32"/>
          <w:szCs w:val="32"/>
        </w:rPr>
      </w:pPr>
      <w:r>
        <w:rPr>
          <w:rFonts w:ascii="仿宋_GB2312" w:eastAsia="仿宋_GB2312"/>
          <w:sz w:val="32"/>
          <w:szCs w:val="32"/>
        </w:rPr>
        <w:t>2019年1月2日</w:t>
      </w:r>
      <w:r>
        <w:rPr>
          <w:rFonts w:ascii="仿宋_GB2312" w:eastAsia="仿宋_GB2312" w:hint="eastAsia"/>
          <w:sz w:val="32"/>
          <w:szCs w:val="32"/>
        </w:rPr>
        <w:t xml:space="preserve"> </w:t>
      </w:r>
      <w:r>
        <w:rPr>
          <w:rFonts w:ascii="仿宋_GB2312" w:eastAsia="仿宋_GB2312"/>
          <w:sz w:val="32"/>
          <w:szCs w:val="32"/>
        </w:rPr>
        <w:t xml:space="preserve">  </w:t>
      </w:r>
    </w:p>
    <w:p w:rsidR="002B6078" w:rsidRDefault="002B6078"/>
    <w:sectPr w:rsidR="002B6078" w:rsidSect="00E8089B">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36190"/>
      <w:docPartObj>
        <w:docPartGallery w:val="Page Numbers (Bottom of Page)"/>
        <w:docPartUnique/>
      </w:docPartObj>
    </w:sdtPr>
    <w:sdtEndPr/>
    <w:sdtContent>
      <w:p w:rsidR="00DC033B" w:rsidRDefault="006F2423">
        <w:pPr>
          <w:pStyle w:val="a4"/>
          <w:jc w:val="center"/>
        </w:pPr>
        <w:r>
          <w:fldChar w:fldCharType="begin"/>
        </w:r>
        <w:r>
          <w:instrText>PAGE   \* MERGEFORMAT</w:instrText>
        </w:r>
        <w:r>
          <w:fldChar w:fldCharType="separate"/>
        </w:r>
        <w:r w:rsidRPr="006F2423">
          <w:rPr>
            <w:noProof/>
            <w:lang w:val="zh-CN"/>
          </w:rPr>
          <w:t>4</w:t>
        </w:r>
        <w:r>
          <w:fldChar w:fldCharType="end"/>
        </w:r>
      </w:p>
    </w:sdtContent>
  </w:sdt>
  <w:p w:rsidR="00DC033B" w:rsidRDefault="006F2423">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A56DB"/>
    <w:multiLevelType w:val="hybridMultilevel"/>
    <w:tmpl w:val="2716C6F2"/>
    <w:lvl w:ilvl="0" w:tplc="8840608A">
      <w:start w:val="1"/>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423"/>
    <w:rsid w:val="002B6078"/>
    <w:rsid w:val="006F2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423"/>
    <w:pPr>
      <w:ind w:firstLineChars="200" w:firstLine="420"/>
    </w:pPr>
  </w:style>
  <w:style w:type="paragraph" w:styleId="a4">
    <w:name w:val="footer"/>
    <w:basedOn w:val="a"/>
    <w:link w:val="Char"/>
    <w:uiPriority w:val="99"/>
    <w:unhideWhenUsed/>
    <w:rsid w:val="006F2423"/>
    <w:pPr>
      <w:tabs>
        <w:tab w:val="center" w:pos="4153"/>
        <w:tab w:val="right" w:pos="8306"/>
      </w:tabs>
      <w:snapToGrid w:val="0"/>
      <w:jc w:val="left"/>
    </w:pPr>
    <w:rPr>
      <w:sz w:val="18"/>
      <w:szCs w:val="18"/>
    </w:rPr>
  </w:style>
  <w:style w:type="character" w:customStyle="1" w:styleId="Char">
    <w:name w:val="页脚 Char"/>
    <w:basedOn w:val="a0"/>
    <w:link w:val="a4"/>
    <w:uiPriority w:val="99"/>
    <w:rsid w:val="006F24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Words>
  <Characters>2025</Characters>
  <Application>Microsoft Office Word</Application>
  <DocSecurity>0</DocSecurity>
  <Lines>16</Lines>
  <Paragraphs>4</Paragraphs>
  <ScaleCrop>false</ScaleCrop>
  <Company>Microsoft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2019-01-04T02:33:00Z</dcterms:created>
  <dcterms:modified xsi:type="dcterms:W3CDTF">2019-01-04T02:33:00Z</dcterms:modified>
</cp:coreProperties>
</file>