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58" w:rsidRDefault="007C1C58" w:rsidP="007C1C58">
      <w:pPr>
        <w:spacing w:line="360" w:lineRule="auto"/>
        <w:ind w:firstLineChars="200" w:firstLine="660"/>
        <w:jc w:val="center"/>
        <w:rPr>
          <w:rFonts w:ascii="宋体" w:hAnsi="宋体" w:cs="宋体"/>
          <w:color w:val="292929"/>
          <w:kern w:val="0"/>
          <w:sz w:val="19"/>
          <w:szCs w:val="19"/>
        </w:rPr>
      </w:pPr>
      <w:bookmarkStart w:id="0" w:name="OLE_LINK1"/>
      <w:r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全球环境基金</w:t>
      </w:r>
      <w:r w:rsidRPr="006D7F3E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宁波</w:t>
      </w:r>
      <w:r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建筑节能和可再生能源项目</w:t>
      </w:r>
    </w:p>
    <w:p w:rsidR="007C1C58" w:rsidRPr="007C1C58" w:rsidRDefault="007C1C58" w:rsidP="004566F7">
      <w:pPr>
        <w:spacing w:afterLines="150" w:line="360" w:lineRule="auto"/>
        <w:ind w:firstLineChars="200" w:firstLine="660"/>
        <w:jc w:val="center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 w:rsidRPr="007C1C58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完工报告、绩效评价报告编制任务大纲</w:t>
      </w:r>
    </w:p>
    <w:p w:rsidR="00814860" w:rsidRPr="00CF64EA" w:rsidRDefault="00814860" w:rsidP="00CF64EA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CF64EA">
        <w:rPr>
          <w:rFonts w:ascii="宋体" w:hAnsi="宋体" w:cs="宋体" w:hint="eastAsia"/>
          <w:b/>
          <w:sz w:val="24"/>
          <w:szCs w:val="24"/>
        </w:rPr>
        <w:t>项目目的</w:t>
      </w:r>
    </w:p>
    <w:p w:rsidR="00814860" w:rsidRPr="00CF64EA" w:rsidRDefault="00814860" w:rsidP="00CF64EA">
      <w:pPr>
        <w:pStyle w:val="a3"/>
        <w:numPr>
          <w:ilvl w:val="0"/>
          <w:numId w:val="7"/>
        </w:numPr>
        <w:spacing w:line="540" w:lineRule="exact"/>
        <w:ind w:firstLineChars="0"/>
        <w:rPr>
          <w:rFonts w:ascii="宋体" w:hAnsi="宋体" w:cs="宋体"/>
          <w:sz w:val="24"/>
          <w:szCs w:val="24"/>
        </w:rPr>
      </w:pPr>
      <w:r w:rsidRPr="00CF64EA">
        <w:rPr>
          <w:rFonts w:ascii="宋体" w:hAnsi="宋体" w:cs="宋体" w:hint="eastAsia"/>
          <w:sz w:val="24"/>
          <w:szCs w:val="24"/>
        </w:rPr>
        <w:t>项目完工报告目的：</w:t>
      </w:r>
    </w:p>
    <w:p w:rsidR="00814860" w:rsidRPr="00324CDB" w:rsidRDefault="00814860" w:rsidP="00CF64EA">
      <w:pPr>
        <w:adjustRightInd w:val="0"/>
        <w:snapToGrid w:val="0"/>
        <w:spacing w:line="540" w:lineRule="exact"/>
        <w:ind w:firstLineChars="176" w:firstLine="422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报告旨在通过世行和</w:t>
      </w:r>
      <w:r>
        <w:rPr>
          <w:rFonts w:ascii="宋体" w:hAnsi="宋体" w:cs="宋体" w:hint="eastAsia"/>
          <w:sz w:val="24"/>
          <w:szCs w:val="24"/>
        </w:rPr>
        <w:t>受款人</w:t>
      </w:r>
      <w:r w:rsidRPr="00324CDB">
        <w:rPr>
          <w:rFonts w:ascii="宋体" w:hAnsi="宋体" w:cs="宋体" w:hint="eastAsia"/>
          <w:sz w:val="24"/>
          <w:szCs w:val="24"/>
        </w:rPr>
        <w:t>双方回顾和评价项目执行、效益情况，总结项目准备和执行中存在的问题，经验及教训，为项目今后的持续发展做准备，更为双方今后准备其他项目提供借鉴。</w:t>
      </w:r>
    </w:p>
    <w:p w:rsidR="00814860" w:rsidRPr="00324CDB" w:rsidRDefault="00814860" w:rsidP="00CF64EA">
      <w:pPr>
        <w:pStyle w:val="a3"/>
        <w:numPr>
          <w:ilvl w:val="0"/>
          <w:numId w:val="7"/>
        </w:numPr>
        <w:spacing w:line="540" w:lineRule="exact"/>
        <w:ind w:firstLineChars="0"/>
        <w:rPr>
          <w:rFonts w:ascii="宋体" w:hAnsi="宋体" w:cs="宋体"/>
          <w:sz w:val="24"/>
          <w:szCs w:val="24"/>
          <w:lang w:eastAsia="zh-CN"/>
        </w:rPr>
      </w:pPr>
      <w:r w:rsidRPr="00324CDB">
        <w:rPr>
          <w:rFonts w:ascii="宋体" w:hAnsi="宋体" w:cs="宋体" w:hint="eastAsia"/>
          <w:sz w:val="24"/>
          <w:szCs w:val="24"/>
          <w:lang w:eastAsia="zh-CN"/>
        </w:rPr>
        <w:t>项目财政绩效评价报告目的：</w:t>
      </w:r>
    </w:p>
    <w:p w:rsidR="00814860" w:rsidRPr="00324CDB" w:rsidRDefault="00814860" w:rsidP="00CF64EA">
      <w:pPr>
        <w:spacing w:line="540" w:lineRule="exact"/>
        <w:ind w:firstLineChars="177" w:firstLine="425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根据《国际金融组织贷款项目绩效评价操作指南》的要求，对本项目的相关性、效率、效果、可持续性以及综合绩效进行客观公正的评价。</w:t>
      </w:r>
    </w:p>
    <w:p w:rsidR="00814860" w:rsidRPr="00324CDB" w:rsidRDefault="00814860" w:rsidP="00C878C6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324CDB">
        <w:rPr>
          <w:rFonts w:ascii="宋体" w:hAnsi="宋体" w:cs="宋体" w:hint="eastAsia"/>
          <w:b/>
          <w:sz w:val="24"/>
          <w:szCs w:val="24"/>
        </w:rPr>
        <w:t>项目描述</w:t>
      </w:r>
    </w:p>
    <w:p w:rsidR="00814860" w:rsidRDefault="007C03B8" w:rsidP="00887AE6">
      <w:pPr>
        <w:pStyle w:val="a3"/>
        <w:numPr>
          <w:ilvl w:val="0"/>
          <w:numId w:val="8"/>
        </w:numPr>
        <w:spacing w:line="540" w:lineRule="exact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项目背景</w:t>
      </w:r>
    </w:p>
    <w:p w:rsidR="00814860" w:rsidRPr="00814860" w:rsidRDefault="00814860" w:rsidP="00800D5E">
      <w:pPr>
        <w:spacing w:line="540" w:lineRule="exact"/>
        <w:ind w:leftChars="1" w:left="2" w:firstLineChars="200" w:firstLine="480"/>
        <w:outlineLvl w:val="0"/>
        <w:rPr>
          <w:rFonts w:ascii="宋体" w:hAnsi="宋体" w:cs="宋体"/>
          <w:sz w:val="24"/>
          <w:szCs w:val="24"/>
        </w:rPr>
      </w:pPr>
      <w:r w:rsidRPr="00814860">
        <w:rPr>
          <w:rFonts w:ascii="宋体" w:hAnsi="宋体" w:cs="宋体" w:hint="eastAsia"/>
          <w:sz w:val="24"/>
          <w:szCs w:val="24"/>
        </w:rPr>
        <w:t>2009年宁波市成为首批国家可再生能源建筑应用示范城市，按照宁波市的节能减排部署，“十二五”期间宁波市的GDP能耗下降目标为22%，二氧化碳和氮氧化物排放总量下降目标分别为18.9%和31.9%，节能减排任务相当艰巨。而</w:t>
      </w:r>
      <w:r w:rsidR="007C03B8">
        <w:rPr>
          <w:rFonts w:ascii="宋体" w:hAnsi="宋体" w:cs="宋体" w:hint="eastAsia"/>
          <w:sz w:val="24"/>
          <w:szCs w:val="24"/>
        </w:rPr>
        <w:t>当时</w:t>
      </w:r>
      <w:r w:rsidRPr="00814860">
        <w:rPr>
          <w:rFonts w:ascii="宋体" w:hAnsi="宋体" w:cs="宋体" w:hint="eastAsia"/>
          <w:sz w:val="24"/>
          <w:szCs w:val="24"/>
        </w:rPr>
        <w:t>建筑能耗占社会总能耗约46.7%，大力推进低碳和可再生能源建筑发展，对降低能源消耗和污染物排放，实现我市节能减排目标具有重要意义。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814860">
        <w:rPr>
          <w:rFonts w:ascii="宋体" w:hAnsi="宋体" w:cs="宋体" w:hint="eastAsia"/>
          <w:sz w:val="24"/>
          <w:szCs w:val="24"/>
        </w:rPr>
        <w:t>2010年底，中国申请到一笔额度为1200万美元的全球环境基金（GEF</w:t>
      </w:r>
      <w:r w:rsidR="007C03B8">
        <w:rPr>
          <w:rFonts w:ascii="宋体" w:hAnsi="宋体" w:cs="宋体" w:hint="eastAsia"/>
          <w:sz w:val="24"/>
          <w:szCs w:val="24"/>
        </w:rPr>
        <w:t>）赠款，用于实施“中国城市建筑节能和可再生能源利用项目”，</w:t>
      </w:r>
      <w:r w:rsidR="00C7178E">
        <w:rPr>
          <w:rFonts w:ascii="宋体" w:hAnsi="宋体" w:cs="宋体" w:hint="eastAsia"/>
          <w:sz w:val="24"/>
          <w:szCs w:val="24"/>
        </w:rPr>
        <w:t>该项目</w:t>
      </w:r>
      <w:r w:rsidR="00C7178E" w:rsidRPr="00C7178E">
        <w:rPr>
          <w:rFonts w:ascii="宋体" w:hAnsi="宋体" w:cs="宋体" w:hint="eastAsia"/>
          <w:sz w:val="24"/>
          <w:szCs w:val="24"/>
        </w:rPr>
        <w:t>由世界银行作为执行机构，在住建部统一领导下，</w:t>
      </w:r>
      <w:r w:rsidR="00C7178E">
        <w:rPr>
          <w:rFonts w:ascii="宋体" w:hAnsi="宋体" w:cs="宋体" w:hint="eastAsia"/>
          <w:sz w:val="24"/>
          <w:szCs w:val="24"/>
        </w:rPr>
        <w:t>由</w:t>
      </w:r>
      <w:r w:rsidR="007C03B8">
        <w:rPr>
          <w:rFonts w:ascii="宋体" w:hAnsi="宋体" w:cs="宋体" w:hint="eastAsia"/>
          <w:sz w:val="24"/>
          <w:szCs w:val="24"/>
        </w:rPr>
        <w:t>宁波</w:t>
      </w:r>
      <w:r w:rsidR="00C7178E">
        <w:rPr>
          <w:rFonts w:ascii="宋体" w:hAnsi="宋体" w:cs="宋体" w:hint="eastAsia"/>
          <w:sz w:val="24"/>
          <w:szCs w:val="24"/>
        </w:rPr>
        <w:t>、</w:t>
      </w:r>
      <w:r w:rsidR="007C03B8">
        <w:rPr>
          <w:rFonts w:ascii="宋体" w:hAnsi="宋体" w:cs="宋体" w:hint="eastAsia"/>
          <w:sz w:val="24"/>
          <w:szCs w:val="24"/>
        </w:rPr>
        <w:t>北京</w:t>
      </w:r>
      <w:r w:rsidR="00C7178E">
        <w:rPr>
          <w:rFonts w:ascii="宋体" w:hAnsi="宋体" w:cs="宋体" w:hint="eastAsia"/>
          <w:sz w:val="24"/>
          <w:szCs w:val="24"/>
        </w:rPr>
        <w:t>等试点</w:t>
      </w:r>
      <w:r w:rsidR="007C03B8">
        <w:rPr>
          <w:rFonts w:ascii="宋体" w:hAnsi="宋体" w:cs="宋体" w:hint="eastAsia"/>
          <w:sz w:val="24"/>
          <w:szCs w:val="24"/>
        </w:rPr>
        <w:t>城市共同实施。</w:t>
      </w:r>
      <w:r w:rsidR="00C7178E" w:rsidRPr="00C7178E">
        <w:rPr>
          <w:rFonts w:ascii="宋体" w:hAnsi="宋体" w:cs="宋体" w:hint="eastAsia"/>
          <w:sz w:val="24"/>
          <w:szCs w:val="24"/>
        </w:rPr>
        <w:t>项目于2013年8月26日生效，关账日期为201</w:t>
      </w:r>
      <w:r w:rsidR="00C7178E">
        <w:rPr>
          <w:rFonts w:ascii="宋体" w:hAnsi="宋体" w:cs="宋体" w:hint="eastAsia"/>
          <w:sz w:val="24"/>
          <w:szCs w:val="24"/>
        </w:rPr>
        <w:t>9</w:t>
      </w:r>
      <w:r w:rsidR="00C7178E" w:rsidRPr="00C7178E">
        <w:rPr>
          <w:rFonts w:ascii="宋体" w:hAnsi="宋体" w:cs="宋体" w:hint="eastAsia"/>
          <w:sz w:val="24"/>
          <w:szCs w:val="24"/>
        </w:rPr>
        <w:t>年12月31日。</w:t>
      </w:r>
      <w:r w:rsidR="007C03B8">
        <w:rPr>
          <w:rFonts w:ascii="宋体" w:hAnsi="宋体" w:cs="宋体" w:hint="eastAsia"/>
          <w:sz w:val="24"/>
          <w:szCs w:val="24"/>
        </w:rPr>
        <w:t>波子项目</w:t>
      </w:r>
      <w:r w:rsidR="00C7178E">
        <w:rPr>
          <w:rFonts w:ascii="宋体" w:hAnsi="宋体" w:cs="宋体" w:hint="eastAsia"/>
          <w:sz w:val="24"/>
          <w:szCs w:val="24"/>
        </w:rPr>
        <w:t>总投资1559万美元，其中GEF</w:t>
      </w:r>
      <w:r w:rsidRPr="00814860">
        <w:rPr>
          <w:rFonts w:ascii="宋体" w:hAnsi="宋体" w:cs="宋体" w:hint="eastAsia"/>
          <w:sz w:val="24"/>
          <w:szCs w:val="24"/>
        </w:rPr>
        <w:t>赠款350万美元</w:t>
      </w:r>
      <w:r w:rsidR="00C7178E">
        <w:rPr>
          <w:rFonts w:ascii="宋体" w:hAnsi="宋体" w:cs="宋体" w:hint="eastAsia"/>
          <w:sz w:val="24"/>
          <w:szCs w:val="24"/>
        </w:rPr>
        <w:t>；后经项目调整，总投资增至5780万美元，GEF赠款额度不变。</w:t>
      </w:r>
    </w:p>
    <w:p w:rsidR="00C7178E" w:rsidRDefault="00887AE6" w:rsidP="00887AE6">
      <w:pPr>
        <w:pStyle w:val="a3"/>
        <w:numPr>
          <w:ilvl w:val="0"/>
          <w:numId w:val="8"/>
        </w:numPr>
        <w:spacing w:line="540" w:lineRule="exact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项目目标</w:t>
      </w:r>
    </w:p>
    <w:p w:rsidR="00814860" w:rsidRPr="00324CDB" w:rsidRDefault="00C7178E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本项目的发展目标是：</w:t>
      </w:r>
      <w:r w:rsidRPr="00B57280">
        <w:rPr>
          <w:rFonts w:asciiTheme="minorEastAsia" w:eastAsiaTheme="minorEastAsia" w:hAnsiTheme="minorEastAsia" w:hint="eastAsia"/>
          <w:sz w:val="24"/>
        </w:rPr>
        <w:t>改善试点</w:t>
      </w:r>
      <w:r>
        <w:rPr>
          <w:rFonts w:asciiTheme="minorEastAsia" w:eastAsiaTheme="minorEastAsia" w:hAnsiTheme="minorEastAsia" w:hint="eastAsia"/>
          <w:sz w:val="24"/>
        </w:rPr>
        <w:t>（包括</w:t>
      </w:r>
      <w:r w:rsidRPr="00B57280">
        <w:rPr>
          <w:rFonts w:asciiTheme="minorEastAsia" w:eastAsiaTheme="minorEastAsia" w:hAnsiTheme="minorEastAsia" w:hint="eastAsia"/>
          <w:sz w:val="24"/>
        </w:rPr>
        <w:t>国家</w:t>
      </w:r>
      <w:r>
        <w:rPr>
          <w:rFonts w:asciiTheme="minorEastAsia" w:eastAsiaTheme="minorEastAsia" w:hAnsiTheme="minorEastAsia" w:hint="eastAsia"/>
          <w:sz w:val="24"/>
        </w:rPr>
        <w:t>层面和城市层面）</w:t>
      </w:r>
      <w:r w:rsidRPr="00B57280">
        <w:rPr>
          <w:rFonts w:asciiTheme="minorEastAsia" w:eastAsiaTheme="minorEastAsia" w:hAnsiTheme="minorEastAsia" w:hint="eastAsia"/>
          <w:sz w:val="24"/>
        </w:rPr>
        <w:t>的以下政策</w:t>
      </w:r>
      <w:r w:rsidRPr="00B57280">
        <w:rPr>
          <w:rFonts w:asciiTheme="minorEastAsia" w:eastAsiaTheme="minorEastAsia" w:hAnsiTheme="minorEastAsia"/>
          <w:sz w:val="24"/>
        </w:rPr>
        <w:t>:</w:t>
      </w:r>
      <w:r>
        <w:rPr>
          <w:rFonts w:asciiTheme="minorEastAsia" w:eastAsiaTheme="minorEastAsia" w:hAnsiTheme="minorEastAsia" w:hint="eastAsia"/>
          <w:sz w:val="24"/>
        </w:rPr>
        <w:t>①</w:t>
      </w:r>
      <w:r w:rsidRPr="00B57280">
        <w:rPr>
          <w:rFonts w:asciiTheme="minorEastAsia" w:eastAsiaTheme="minorEastAsia" w:hAnsiTheme="minorEastAsia" w:hint="eastAsia"/>
          <w:sz w:val="24"/>
        </w:rPr>
        <w:t>促进低碳、具适应性和宜居</w:t>
      </w:r>
      <w:r>
        <w:rPr>
          <w:rFonts w:asciiTheme="minorEastAsia" w:eastAsiaTheme="minorEastAsia" w:hAnsiTheme="minorEastAsia" w:hint="eastAsia"/>
          <w:sz w:val="24"/>
        </w:rPr>
        <w:t>性</w:t>
      </w:r>
      <w:r w:rsidRPr="00B57280">
        <w:rPr>
          <w:rFonts w:asciiTheme="minorEastAsia" w:eastAsiaTheme="minorEastAsia" w:hAnsiTheme="minorEastAsia" w:hint="eastAsia"/>
          <w:sz w:val="24"/>
        </w:rPr>
        <w:t>的城市形态</w:t>
      </w:r>
      <w:r w:rsidRPr="00B57280">
        <w:rPr>
          <w:rFonts w:asciiTheme="minorEastAsia" w:eastAsiaTheme="minorEastAsia" w:hAnsiTheme="minorEastAsia"/>
          <w:sz w:val="24"/>
        </w:rPr>
        <w:t>;</w:t>
      </w:r>
      <w:r>
        <w:rPr>
          <w:rFonts w:asciiTheme="minorEastAsia" w:eastAsiaTheme="minorEastAsia" w:hAnsiTheme="minorEastAsia" w:hint="eastAsia"/>
          <w:sz w:val="24"/>
        </w:rPr>
        <w:t>②</w:t>
      </w:r>
      <w:r w:rsidRPr="00B57280">
        <w:rPr>
          <w:rFonts w:asciiTheme="minorEastAsia" w:eastAsiaTheme="minorEastAsia" w:hAnsiTheme="minorEastAsia" w:hint="eastAsia"/>
          <w:sz w:val="24"/>
        </w:rPr>
        <w:t>提高公共建筑和商业建筑的能效；</w:t>
      </w:r>
      <w:r>
        <w:rPr>
          <w:rFonts w:asciiTheme="minorEastAsia" w:eastAsiaTheme="minorEastAsia" w:hAnsiTheme="minorEastAsia" w:hint="eastAsia"/>
          <w:sz w:val="24"/>
        </w:rPr>
        <w:t>③</w:t>
      </w:r>
      <w:r w:rsidRPr="00B57280">
        <w:rPr>
          <w:rFonts w:asciiTheme="minorEastAsia" w:eastAsiaTheme="minorEastAsia" w:hAnsiTheme="minorEastAsia" w:hint="eastAsia"/>
          <w:sz w:val="24"/>
        </w:rPr>
        <w:t>推广商业上可行的屋顶光伏应用。全球环境目标是：通过</w:t>
      </w:r>
      <w:r>
        <w:rPr>
          <w:rFonts w:asciiTheme="minorEastAsia" w:eastAsiaTheme="minorEastAsia" w:hAnsiTheme="minorEastAsia" w:hint="eastAsia"/>
          <w:sz w:val="24"/>
        </w:rPr>
        <w:t>支持相关政策的制定、完善及</w:t>
      </w:r>
      <w:r w:rsidRPr="00B57280">
        <w:rPr>
          <w:rFonts w:asciiTheme="minorEastAsia" w:eastAsiaTheme="minorEastAsia" w:hAnsiTheme="minorEastAsia" w:hint="eastAsia"/>
          <w:sz w:val="24"/>
        </w:rPr>
        <w:t>实施</w:t>
      </w:r>
      <w:r>
        <w:rPr>
          <w:rFonts w:asciiTheme="minorEastAsia" w:eastAsiaTheme="minorEastAsia" w:hAnsiTheme="minorEastAsia" w:hint="eastAsia"/>
          <w:sz w:val="24"/>
        </w:rPr>
        <w:t>，实现</w:t>
      </w:r>
      <w:r w:rsidRPr="00B57280">
        <w:rPr>
          <w:rFonts w:asciiTheme="minorEastAsia" w:eastAsiaTheme="minorEastAsia" w:hAnsiTheme="minorEastAsia" w:hint="eastAsia"/>
          <w:sz w:val="24"/>
        </w:rPr>
        <w:t>试点城市建筑物</w:t>
      </w:r>
      <w:r>
        <w:rPr>
          <w:rFonts w:asciiTheme="minorEastAsia" w:eastAsiaTheme="minorEastAsia" w:hAnsiTheme="minorEastAsia" w:hint="eastAsia"/>
          <w:sz w:val="24"/>
        </w:rPr>
        <w:t>的碳减排</w:t>
      </w:r>
      <w:r w:rsidRPr="00B57280">
        <w:rPr>
          <w:rFonts w:asciiTheme="minorEastAsia" w:eastAsiaTheme="minorEastAsia" w:hAnsiTheme="minorEastAsia" w:hint="eastAsia"/>
          <w:sz w:val="24"/>
        </w:rPr>
        <w:t>。</w:t>
      </w:r>
    </w:p>
    <w:p w:rsidR="00887AE6" w:rsidRDefault="00814860" w:rsidP="00887AE6">
      <w:pPr>
        <w:pStyle w:val="a3"/>
        <w:numPr>
          <w:ilvl w:val="0"/>
          <w:numId w:val="8"/>
        </w:numPr>
        <w:spacing w:line="540" w:lineRule="exact"/>
        <w:ind w:firstLineChars="0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项目组成和活动</w:t>
      </w:r>
    </w:p>
    <w:p w:rsidR="00814860" w:rsidRPr="00887AE6" w:rsidRDefault="00814860" w:rsidP="00887AE6">
      <w:pPr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887AE6">
        <w:rPr>
          <w:rFonts w:ascii="宋体" w:hAnsi="宋体" w:cs="宋体" w:hint="eastAsia"/>
          <w:sz w:val="24"/>
          <w:szCs w:val="24"/>
        </w:rPr>
        <w:t>本项目包括以下</w:t>
      </w:r>
      <w:r w:rsidR="00F17081" w:rsidRPr="00887AE6">
        <w:rPr>
          <w:rFonts w:ascii="宋体" w:hAnsi="宋体" w:cs="宋体" w:hint="eastAsia"/>
          <w:sz w:val="24"/>
          <w:szCs w:val="24"/>
        </w:rPr>
        <w:t>4</w:t>
      </w:r>
      <w:r w:rsidRPr="00887AE6">
        <w:rPr>
          <w:rFonts w:ascii="宋体" w:hAnsi="宋体" w:cs="宋体" w:hint="eastAsia"/>
          <w:sz w:val="24"/>
          <w:szCs w:val="24"/>
        </w:rPr>
        <w:t>个子项：</w:t>
      </w:r>
    </w:p>
    <w:p w:rsidR="00214492" w:rsidRDefault="00814860" w:rsidP="00887AE6">
      <w:pPr>
        <w:autoSpaceDE w:val="0"/>
        <w:autoSpaceDN w:val="0"/>
        <w:adjustRightInd w:val="0"/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子项1：</w:t>
      </w:r>
      <w:r w:rsidR="00417528">
        <w:rPr>
          <w:rFonts w:ascii="宋体" w:hAnsi="宋体" w:cs="宋体" w:hint="eastAsia"/>
          <w:sz w:val="24"/>
          <w:szCs w:val="24"/>
        </w:rPr>
        <w:t>促进低碳、具适应性和宜居性（LoCAL）的城市形态</w:t>
      </w:r>
      <w:r w:rsidRPr="00324CDB">
        <w:rPr>
          <w:rFonts w:ascii="宋体" w:hAnsi="宋体" w:cs="宋体" w:hint="eastAsia"/>
          <w:sz w:val="24"/>
          <w:szCs w:val="24"/>
        </w:rPr>
        <w:t>。</w:t>
      </w:r>
      <w:r w:rsidR="00417528">
        <w:rPr>
          <w:rFonts w:ascii="宋体" w:hAnsi="宋体" w:cs="宋体" w:hint="eastAsia"/>
          <w:sz w:val="24"/>
          <w:szCs w:val="24"/>
        </w:rPr>
        <w:t>该子项包括</w:t>
      </w:r>
      <w:r w:rsidR="00214492">
        <w:rPr>
          <w:rFonts w:ascii="宋体" w:hAnsi="宋体" w:cs="宋体" w:hint="eastAsia"/>
          <w:sz w:val="24"/>
          <w:szCs w:val="24"/>
        </w:rPr>
        <w:t>：</w:t>
      </w:r>
    </w:p>
    <w:p w:rsidR="00214492" w:rsidRPr="00887AE6" w:rsidRDefault="00887AE6" w:rsidP="00887AE6">
      <w:pPr>
        <w:tabs>
          <w:tab w:val="left" w:pos="0"/>
        </w:tabs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 w:rsidR="00417528" w:rsidRPr="00887AE6">
        <w:rPr>
          <w:rFonts w:ascii="宋体" w:hAnsi="宋体" w:cs="宋体" w:hint="eastAsia"/>
          <w:sz w:val="24"/>
          <w:szCs w:val="24"/>
        </w:rPr>
        <w:t>一项宁波市城市形态研究，基于实证分析，针对宁波法定的城市规划标准和法规提出具体的修改建议</w:t>
      </w:r>
      <w:r w:rsidR="00214492" w:rsidRPr="00887AE6">
        <w:rPr>
          <w:rFonts w:ascii="宋体" w:hAnsi="宋体" w:cs="宋体" w:hint="eastAsia"/>
          <w:sz w:val="24"/>
          <w:szCs w:val="24"/>
        </w:rPr>
        <w:t>。</w:t>
      </w:r>
    </w:p>
    <w:p w:rsidR="00214492" w:rsidRPr="00887AE6" w:rsidRDefault="00887AE6" w:rsidP="00887AE6">
      <w:pPr>
        <w:tabs>
          <w:tab w:val="left" w:pos="0"/>
        </w:tabs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 w:rsidR="00417528" w:rsidRPr="00887AE6">
        <w:rPr>
          <w:rFonts w:ascii="宋体" w:hAnsi="宋体" w:cs="宋体" w:hint="eastAsia"/>
          <w:sz w:val="24"/>
          <w:szCs w:val="24"/>
        </w:rPr>
        <w:t>LoCAL城市形态试点。</w:t>
      </w:r>
      <w:r w:rsidR="00402B10" w:rsidRPr="00887AE6">
        <w:rPr>
          <w:rFonts w:ascii="宋体" w:hAnsi="宋体" w:cs="宋体" w:hint="eastAsia"/>
          <w:sz w:val="24"/>
          <w:szCs w:val="24"/>
        </w:rPr>
        <w:t>选定象山县大目湾新城为试点地区，完善其中心区域总体规划和建设控制规划、编制新城交通规划和概念设计，并展示采用</w:t>
      </w:r>
      <w:r w:rsidR="00402B10" w:rsidRPr="00887AE6">
        <w:rPr>
          <w:rFonts w:ascii="宋体" w:hAnsi="宋体" w:cs="宋体"/>
          <w:sz w:val="24"/>
          <w:szCs w:val="24"/>
        </w:rPr>
        <w:t>LOCAL</w:t>
      </w:r>
      <w:r w:rsidR="00402B10" w:rsidRPr="00887AE6">
        <w:rPr>
          <w:rFonts w:ascii="宋体" w:hAnsi="宋体" w:cs="宋体" w:hint="eastAsia"/>
          <w:sz w:val="24"/>
          <w:szCs w:val="24"/>
        </w:rPr>
        <w:t>城市形态原则的效果。</w:t>
      </w:r>
    </w:p>
    <w:p w:rsidR="00402B10" w:rsidRPr="00887AE6" w:rsidRDefault="00887AE6" w:rsidP="00887AE6">
      <w:pPr>
        <w:tabs>
          <w:tab w:val="left" w:pos="0"/>
        </w:tabs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</w:t>
      </w:r>
      <w:r w:rsidR="00402B10" w:rsidRPr="00887AE6">
        <w:rPr>
          <w:rFonts w:ascii="宋体" w:hAnsi="宋体" w:cs="宋体"/>
          <w:sz w:val="24"/>
          <w:szCs w:val="24"/>
        </w:rPr>
        <w:t>通过对宁波市近</w:t>
      </w:r>
      <w:r w:rsidR="00402B10" w:rsidRPr="00887AE6">
        <w:rPr>
          <w:rFonts w:ascii="宋体" w:hAnsi="宋体" w:cs="宋体" w:hint="eastAsia"/>
          <w:sz w:val="24"/>
          <w:szCs w:val="24"/>
        </w:rPr>
        <w:t>来</w:t>
      </w:r>
      <w:r w:rsidR="00402B10" w:rsidRPr="00887AE6">
        <w:rPr>
          <w:rFonts w:ascii="宋体" w:hAnsi="宋体" w:cs="宋体"/>
          <w:sz w:val="24"/>
          <w:szCs w:val="24"/>
        </w:rPr>
        <w:t>绿色建筑具体指标的数据分析和技术提炼，总结形成宁波市绿色住区技术指标的数据基础，编制《宁波市绿色住区规划设计指引》和《宁波市绿色住区节能评估技术指引》，指导绿色社区的具体项目规划方案设计与节能评估评价。</w:t>
      </w:r>
    </w:p>
    <w:p w:rsidR="00214492" w:rsidRPr="00887AE6" w:rsidRDefault="00814860" w:rsidP="00887AE6">
      <w:pPr>
        <w:pStyle w:val="a3"/>
        <w:spacing w:line="540" w:lineRule="exact"/>
        <w:ind w:left="360" w:firstLineChars="0" w:firstLine="0"/>
        <w:rPr>
          <w:rFonts w:ascii="宋体" w:hAnsi="宋体" w:cs="宋体"/>
          <w:sz w:val="24"/>
          <w:szCs w:val="24"/>
          <w:lang w:eastAsia="zh-CN"/>
        </w:rPr>
      </w:pPr>
      <w:r w:rsidRPr="00887AE6">
        <w:rPr>
          <w:rFonts w:ascii="宋体" w:hAnsi="宋体" w:cs="宋体" w:hint="eastAsia"/>
          <w:sz w:val="24"/>
          <w:szCs w:val="24"/>
          <w:lang w:eastAsia="zh-CN"/>
        </w:rPr>
        <w:t>子项2：</w:t>
      </w:r>
      <w:r w:rsidR="00402B10" w:rsidRPr="00887AE6">
        <w:rPr>
          <w:rFonts w:ascii="宋体" w:hAnsi="宋体" w:cs="宋体" w:hint="eastAsia"/>
          <w:sz w:val="24"/>
          <w:szCs w:val="24"/>
          <w:lang w:eastAsia="zh-CN"/>
        </w:rPr>
        <w:t>提高大型公共建筑和商业建筑能效。该子项包括</w:t>
      </w:r>
      <w:r w:rsidR="00214492" w:rsidRPr="00887AE6">
        <w:rPr>
          <w:rFonts w:ascii="宋体" w:hAnsi="宋体" w:cs="宋体" w:hint="eastAsia"/>
          <w:sz w:val="24"/>
          <w:szCs w:val="24"/>
          <w:lang w:eastAsia="zh-CN"/>
        </w:rPr>
        <w:t>：</w:t>
      </w:r>
    </w:p>
    <w:p w:rsidR="00214492" w:rsidRPr="00887AE6" w:rsidRDefault="00887AE6" w:rsidP="00887AE6">
      <w:pPr>
        <w:tabs>
          <w:tab w:val="left" w:pos="0"/>
        </w:tabs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 w:rsidR="00E72EC9" w:rsidRPr="00887AE6">
        <w:rPr>
          <w:rFonts w:ascii="宋体" w:hAnsi="宋体" w:cs="宋体" w:hint="eastAsia"/>
          <w:sz w:val="24"/>
          <w:szCs w:val="24"/>
        </w:rPr>
        <w:t>在国家层面研发大型公共建筑和商业建筑的能耗对标及披露（</w:t>
      </w:r>
      <w:r w:rsidR="00E72EC9" w:rsidRPr="00887AE6">
        <w:rPr>
          <w:rFonts w:ascii="宋体" w:hAnsi="宋体" w:cs="宋体"/>
          <w:sz w:val="24"/>
          <w:szCs w:val="24"/>
        </w:rPr>
        <w:t>EPB&amp;D</w:t>
      </w:r>
      <w:r w:rsidR="00E72EC9" w:rsidRPr="00887AE6">
        <w:rPr>
          <w:rFonts w:ascii="宋体" w:hAnsi="宋体" w:cs="宋体" w:hint="eastAsia"/>
          <w:sz w:val="24"/>
          <w:szCs w:val="24"/>
        </w:rPr>
        <w:t>）的方法论和指南，为城市层级制定并推广强制性</w:t>
      </w:r>
      <w:r w:rsidR="00E72EC9" w:rsidRPr="00887AE6">
        <w:rPr>
          <w:rFonts w:ascii="宋体" w:hAnsi="宋体" w:cs="宋体"/>
          <w:sz w:val="24"/>
          <w:szCs w:val="24"/>
        </w:rPr>
        <w:t>EPB</w:t>
      </w:r>
      <w:r w:rsidR="00E72EC9" w:rsidRPr="00887AE6">
        <w:rPr>
          <w:rFonts w:ascii="宋体" w:hAnsi="宋体" w:cs="宋体" w:hint="eastAsia"/>
          <w:sz w:val="24"/>
          <w:szCs w:val="24"/>
        </w:rPr>
        <w:t>＆</w:t>
      </w:r>
      <w:r w:rsidR="00E72EC9" w:rsidRPr="00887AE6">
        <w:rPr>
          <w:rFonts w:ascii="宋体" w:hAnsi="宋体" w:cs="宋体"/>
          <w:sz w:val="24"/>
          <w:szCs w:val="24"/>
        </w:rPr>
        <w:t>D</w:t>
      </w:r>
      <w:r w:rsidR="00E72EC9" w:rsidRPr="00887AE6">
        <w:rPr>
          <w:rFonts w:ascii="宋体" w:hAnsi="宋体" w:cs="宋体" w:hint="eastAsia"/>
          <w:sz w:val="24"/>
          <w:szCs w:val="24"/>
        </w:rPr>
        <w:t>体系提供技术支持。</w:t>
      </w:r>
    </w:p>
    <w:p w:rsidR="00214492" w:rsidRPr="00887AE6" w:rsidRDefault="00887AE6" w:rsidP="00887AE6">
      <w:pPr>
        <w:tabs>
          <w:tab w:val="left" w:pos="993"/>
        </w:tabs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 w:rsidR="00E72EC9" w:rsidRPr="00887AE6">
        <w:rPr>
          <w:rFonts w:ascii="宋体" w:hAnsi="宋体" w:cs="宋体" w:hint="eastAsia"/>
          <w:sz w:val="24"/>
          <w:szCs w:val="24"/>
        </w:rPr>
        <w:t>在城市层面，结合宁波市大型公共建筑和商业建筑在线能源监测平台建设，设计和实施强制性大型公共和商业建筑的</w:t>
      </w:r>
      <w:r w:rsidR="00E72EC9" w:rsidRPr="00887AE6">
        <w:rPr>
          <w:rFonts w:ascii="宋体" w:hAnsi="宋体" w:cs="宋体"/>
          <w:sz w:val="24"/>
          <w:szCs w:val="24"/>
        </w:rPr>
        <w:t>EPB&amp;D</w:t>
      </w:r>
      <w:r w:rsidR="00E72EC9" w:rsidRPr="00887AE6">
        <w:rPr>
          <w:rFonts w:ascii="宋体" w:hAnsi="宋体" w:cs="宋体" w:hint="eastAsia"/>
          <w:sz w:val="24"/>
          <w:szCs w:val="24"/>
        </w:rPr>
        <w:t>计划。</w:t>
      </w:r>
    </w:p>
    <w:p w:rsidR="00E72EC9" w:rsidRPr="00887AE6" w:rsidRDefault="00887AE6" w:rsidP="00887AE6">
      <w:pPr>
        <w:tabs>
          <w:tab w:val="left" w:pos="993"/>
        </w:tabs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</w:t>
      </w:r>
      <w:r w:rsidR="00D311DE" w:rsidRPr="00887AE6">
        <w:rPr>
          <w:rFonts w:ascii="宋体" w:hAnsi="宋体" w:cs="宋体" w:hint="eastAsia"/>
          <w:sz w:val="24"/>
          <w:szCs w:val="24"/>
        </w:rPr>
        <w:t>探索宁波市公共建筑能效提升项目社会资本参与模式；并选定一批可操作、可落地的建筑能效提升试点项目，根据功能属性、技术关联性、经济指标进行分类，以合同能源管理（EMC）模式，制定具体实施方案。</w:t>
      </w:r>
    </w:p>
    <w:p w:rsidR="00335138" w:rsidRPr="00887AE6" w:rsidRDefault="00887AE6" w:rsidP="00887AE6">
      <w:pPr>
        <w:tabs>
          <w:tab w:val="left" w:pos="993"/>
        </w:tabs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</w:t>
      </w:r>
      <w:r w:rsidR="00335138" w:rsidRPr="00887AE6">
        <w:rPr>
          <w:rFonts w:ascii="宋体" w:hAnsi="宋体" w:cs="宋体"/>
          <w:sz w:val="24"/>
          <w:szCs w:val="24"/>
        </w:rPr>
        <w:t>三</w:t>
      </w:r>
      <w:r w:rsidR="00335138" w:rsidRPr="00887AE6">
        <w:rPr>
          <w:rFonts w:ascii="宋体" w:hAnsi="宋体" w:cs="宋体" w:hint="eastAsia"/>
          <w:sz w:val="24"/>
          <w:szCs w:val="24"/>
        </w:rPr>
        <w:t>星级绿色建设示范项目。</w:t>
      </w:r>
    </w:p>
    <w:p w:rsidR="00335138" w:rsidRPr="00887AE6" w:rsidRDefault="00335138" w:rsidP="00887AE6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spacing w:line="540" w:lineRule="exact"/>
        <w:ind w:leftChars="337" w:left="989" w:hangingChars="117" w:hanging="281"/>
        <w:rPr>
          <w:rFonts w:ascii="宋体" w:hAnsi="宋体" w:cs="宋体"/>
          <w:sz w:val="24"/>
          <w:szCs w:val="24"/>
          <w:lang w:eastAsia="zh-CN"/>
        </w:rPr>
      </w:pPr>
      <w:r w:rsidRPr="00887AE6">
        <w:rPr>
          <w:rFonts w:ascii="宋体" w:hAnsi="宋体" w:cs="宋体" w:hint="eastAsia"/>
          <w:sz w:val="24"/>
          <w:szCs w:val="24"/>
          <w:lang w:eastAsia="zh-CN"/>
        </w:rPr>
        <w:lastRenderedPageBreak/>
        <w:t>宁波大学科技服务大楼，</w:t>
      </w:r>
      <w:r w:rsidR="00A71B1B" w:rsidRPr="00887AE6">
        <w:rPr>
          <w:rFonts w:ascii="宋体" w:hAnsi="宋体" w:cs="宋体" w:hint="eastAsia"/>
          <w:sz w:val="24"/>
          <w:szCs w:val="24"/>
          <w:lang w:eastAsia="zh-CN"/>
        </w:rPr>
        <w:t>以符合</w:t>
      </w:r>
      <w:r w:rsidRPr="00887AE6">
        <w:rPr>
          <w:rFonts w:ascii="宋体" w:hAnsi="宋体" w:cs="宋体"/>
          <w:sz w:val="24"/>
          <w:szCs w:val="24"/>
          <w:lang w:eastAsia="zh-CN"/>
        </w:rPr>
        <w:t>生物气候学原理</w:t>
      </w:r>
      <w:r w:rsidR="00A71B1B" w:rsidRPr="00887AE6">
        <w:rPr>
          <w:rFonts w:ascii="宋体" w:hAnsi="宋体" w:cs="宋体"/>
          <w:sz w:val="24"/>
          <w:szCs w:val="24"/>
          <w:lang w:eastAsia="zh-CN"/>
        </w:rPr>
        <w:t>和</w:t>
      </w:r>
      <w:r w:rsidRPr="00887AE6">
        <w:rPr>
          <w:rFonts w:ascii="宋体" w:hAnsi="宋体" w:cs="宋体"/>
          <w:sz w:val="24"/>
          <w:szCs w:val="24"/>
          <w:lang w:eastAsia="zh-CN"/>
        </w:rPr>
        <w:t>最优性价比</w:t>
      </w:r>
      <w:r w:rsidR="00A71B1B" w:rsidRPr="00887AE6">
        <w:rPr>
          <w:rFonts w:ascii="宋体" w:hAnsi="宋体" w:cs="宋体"/>
          <w:sz w:val="24"/>
          <w:szCs w:val="24"/>
          <w:lang w:eastAsia="zh-CN"/>
        </w:rPr>
        <w:t>为</w:t>
      </w:r>
      <w:r w:rsidRPr="00887AE6">
        <w:rPr>
          <w:rFonts w:ascii="宋体" w:hAnsi="宋体" w:cs="宋体"/>
          <w:sz w:val="24"/>
          <w:szCs w:val="24"/>
          <w:lang w:eastAsia="zh-CN"/>
        </w:rPr>
        <w:t>原则，</w:t>
      </w:r>
      <w:r w:rsidRPr="00887AE6">
        <w:rPr>
          <w:rFonts w:ascii="宋体" w:hAnsi="宋体" w:cs="宋体" w:hint="eastAsia"/>
          <w:sz w:val="24"/>
          <w:szCs w:val="24"/>
          <w:lang w:eastAsia="zh-CN"/>
        </w:rPr>
        <w:t>按国家绿色建筑三星级标准设计建设，促进绿色技术在夏热冬冷地区办公楼建筑中</w:t>
      </w:r>
      <w:r w:rsidR="00A71B1B" w:rsidRPr="00887AE6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887AE6">
        <w:rPr>
          <w:rFonts w:ascii="宋体" w:hAnsi="宋体" w:cs="宋体" w:hint="eastAsia"/>
          <w:sz w:val="24"/>
          <w:szCs w:val="24"/>
          <w:lang w:eastAsia="zh-CN"/>
        </w:rPr>
        <w:t>推广应用</w:t>
      </w:r>
      <w:r w:rsidR="00A71B1B" w:rsidRPr="00887AE6"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A71B1B" w:rsidRPr="00335138" w:rsidRDefault="00A71B1B" w:rsidP="00887AE6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spacing w:line="540" w:lineRule="exact"/>
        <w:ind w:leftChars="337" w:left="989" w:hangingChars="117" w:hanging="281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宁波厨余垃圾处理厂，以符合</w:t>
      </w:r>
      <w:r w:rsidRPr="00335138">
        <w:rPr>
          <w:rFonts w:ascii="宋体" w:hAnsi="宋体" w:cs="宋体"/>
          <w:sz w:val="24"/>
          <w:szCs w:val="24"/>
          <w:lang w:eastAsia="zh-CN"/>
        </w:rPr>
        <w:t>生物气候学原理</w:t>
      </w:r>
      <w:r>
        <w:rPr>
          <w:rFonts w:ascii="宋体" w:hAnsi="宋体" w:cs="宋体"/>
          <w:sz w:val="24"/>
          <w:szCs w:val="24"/>
          <w:lang w:eastAsia="zh-CN"/>
        </w:rPr>
        <w:t>和</w:t>
      </w:r>
      <w:r w:rsidRPr="00335138">
        <w:rPr>
          <w:rFonts w:ascii="宋体" w:hAnsi="宋体" w:cs="宋体"/>
          <w:sz w:val="24"/>
          <w:szCs w:val="24"/>
          <w:lang w:eastAsia="zh-CN"/>
        </w:rPr>
        <w:t>最优性价比</w:t>
      </w:r>
      <w:r>
        <w:rPr>
          <w:rFonts w:ascii="宋体" w:hAnsi="宋体" w:cs="宋体"/>
          <w:sz w:val="24"/>
          <w:szCs w:val="24"/>
          <w:lang w:eastAsia="zh-CN"/>
        </w:rPr>
        <w:t>为原则，</w:t>
      </w:r>
      <w:r>
        <w:rPr>
          <w:rFonts w:ascii="宋体" w:hAnsi="宋体" w:cs="宋体" w:hint="eastAsia"/>
          <w:sz w:val="24"/>
          <w:szCs w:val="24"/>
          <w:lang w:eastAsia="zh-CN"/>
        </w:rPr>
        <w:t>按国家绿色工业建筑三星级标准设计建设，促进绿色技术在夏热冬冷地区工业</w:t>
      </w:r>
      <w:r w:rsidRPr="00335138">
        <w:rPr>
          <w:rFonts w:ascii="宋体" w:hAnsi="宋体" w:cs="宋体" w:hint="eastAsia"/>
          <w:sz w:val="24"/>
          <w:szCs w:val="24"/>
          <w:lang w:eastAsia="zh-CN"/>
        </w:rPr>
        <w:t>建筑中</w:t>
      </w:r>
      <w:r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335138">
        <w:rPr>
          <w:rFonts w:ascii="宋体" w:hAnsi="宋体" w:cs="宋体" w:hint="eastAsia"/>
          <w:sz w:val="24"/>
          <w:szCs w:val="24"/>
          <w:lang w:eastAsia="zh-CN"/>
        </w:rPr>
        <w:t>推广应用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DA2197" w:rsidRPr="00887AE6" w:rsidRDefault="00887AE6" w:rsidP="00887AE6">
      <w:pPr>
        <w:tabs>
          <w:tab w:val="left" w:pos="993"/>
        </w:tabs>
        <w:spacing w:line="5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</w:t>
      </w:r>
      <w:r w:rsidR="00DA2197" w:rsidRPr="00887AE6">
        <w:rPr>
          <w:rFonts w:ascii="宋体" w:hAnsi="宋体" w:cs="宋体" w:hint="eastAsia"/>
          <w:sz w:val="24"/>
          <w:szCs w:val="24"/>
        </w:rPr>
        <w:t>针对规模化推进绿色建筑的政策研究。建立完善宁波市绿色建筑建设及评价的政策法规、技术标准、产业发展、科技支撑等四大工作体系</w:t>
      </w:r>
      <w:r w:rsidR="00144D97" w:rsidRPr="00887AE6">
        <w:rPr>
          <w:rFonts w:ascii="宋体" w:hAnsi="宋体" w:cs="宋体" w:hint="eastAsia"/>
          <w:sz w:val="24"/>
          <w:szCs w:val="24"/>
        </w:rPr>
        <w:t>，出台《关于加快推进我市绿色建筑发展的通知》、《宁波市绿色建筑设计实施细则》和绿色建筑示范补助政策文件。</w:t>
      </w:r>
    </w:p>
    <w:p w:rsidR="00614850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子项3：实施支持和能力建</w:t>
      </w:r>
      <w:r w:rsidRPr="00614850">
        <w:rPr>
          <w:rFonts w:ascii="宋体" w:hAnsi="宋体" w:cs="宋体" w:hint="eastAsia"/>
          <w:kern w:val="0"/>
          <w:sz w:val="24"/>
          <w:szCs w:val="24"/>
        </w:rPr>
        <w:t>设。</w:t>
      </w:r>
      <w:r w:rsidR="00614850" w:rsidRPr="00614850">
        <w:rPr>
          <w:rFonts w:ascii="宋体" w:hAnsi="宋体" w:cs="宋体" w:hint="eastAsia"/>
          <w:kern w:val="0"/>
          <w:sz w:val="24"/>
          <w:szCs w:val="24"/>
        </w:rPr>
        <w:t>以项目为渠道，通过举办研讨会、组织国内外专业培训考察活动，引进先进理念，加强相关从业人员的专业技能，提高宁波市整个行业水平；同时，提升项目管理机构的管理能力和管理人员的专业水平，以保证项目的顺利实施和有效管理。</w:t>
      </w:r>
    </w:p>
    <w:p w:rsidR="00447021" w:rsidRDefault="00614850" w:rsidP="00800D5E">
      <w:pPr>
        <w:spacing w:line="540" w:lineRule="exact"/>
        <w:ind w:firstLine="465"/>
        <w:jc w:val="left"/>
        <w:rPr>
          <w:sz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子项4：项目管理</w:t>
      </w:r>
      <w:r w:rsidR="00447021">
        <w:rPr>
          <w:rFonts w:ascii="宋体" w:hAnsi="宋体" w:cs="宋体" w:hint="eastAsia"/>
          <w:kern w:val="0"/>
          <w:sz w:val="24"/>
          <w:szCs w:val="24"/>
        </w:rPr>
        <w:t>。项目办代表宁波市住建局</w:t>
      </w:r>
      <w:r w:rsidR="00447021" w:rsidRPr="00B258F3">
        <w:rPr>
          <w:rFonts w:hint="eastAsia"/>
          <w:sz w:val="24"/>
        </w:rPr>
        <w:t>对项目的运行支持</w:t>
      </w:r>
      <w:r w:rsidR="00447021">
        <w:rPr>
          <w:rFonts w:hint="eastAsia"/>
          <w:sz w:val="24"/>
        </w:rPr>
        <w:t>和</w:t>
      </w:r>
      <w:r w:rsidR="00447021" w:rsidRPr="00B258F3">
        <w:rPr>
          <w:rFonts w:hint="eastAsia"/>
          <w:sz w:val="24"/>
        </w:rPr>
        <w:t>日常监督管理。</w:t>
      </w:r>
    </w:p>
    <w:p w:rsidR="00AD0AE4" w:rsidRPr="00887AE6" w:rsidRDefault="00AD0AE4" w:rsidP="00887AE6">
      <w:pPr>
        <w:pStyle w:val="a3"/>
        <w:numPr>
          <w:ilvl w:val="0"/>
          <w:numId w:val="8"/>
        </w:numPr>
        <w:spacing w:line="540" w:lineRule="exact"/>
        <w:ind w:firstLineChars="0"/>
        <w:rPr>
          <w:rFonts w:ascii="宋体" w:hAnsi="宋体" w:cs="宋体"/>
          <w:sz w:val="24"/>
          <w:szCs w:val="24"/>
        </w:rPr>
      </w:pPr>
      <w:r w:rsidRPr="00887AE6">
        <w:rPr>
          <w:rFonts w:ascii="宋体" w:hAnsi="宋体" w:cs="宋体" w:hint="eastAsia"/>
          <w:sz w:val="24"/>
          <w:szCs w:val="24"/>
        </w:rPr>
        <w:t>组织机构</w:t>
      </w:r>
    </w:p>
    <w:p w:rsidR="00AD0AE4" w:rsidRDefault="00AD0AE4" w:rsidP="00800D5E">
      <w:pPr>
        <w:spacing w:line="54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AD0AE4">
        <w:rPr>
          <w:rFonts w:ascii="宋体" w:hAnsi="宋体" w:cs="宋体" w:hint="eastAsia"/>
          <w:kern w:val="0"/>
          <w:sz w:val="24"/>
          <w:szCs w:val="24"/>
        </w:rPr>
        <w:t>为做好GEF中国城市建筑节能和可再生能源利用项目的实施及监督管理工作，从国家、城市、具体项目等三个层面建立了实施管理机构：国家住建部成立了项目指导委员会，其主要职能：讨论确定项目工作方向及重点，讨论决定项目实施过程中的重大事项，审议项目实施计划和年度工作计划并监督实施，协调项目执行过程中的有关事宜。指导委员会主任由住建部</w:t>
      </w:r>
      <w:r w:rsidR="00887AE6">
        <w:rPr>
          <w:rFonts w:ascii="宋体" w:hAnsi="宋体" w:cs="宋体" w:hint="eastAsia"/>
          <w:kern w:val="0"/>
          <w:sz w:val="24"/>
          <w:szCs w:val="24"/>
        </w:rPr>
        <w:t>分管副部长</w:t>
      </w:r>
      <w:r w:rsidRPr="00AD0AE4">
        <w:rPr>
          <w:rFonts w:ascii="宋体" w:hAnsi="宋体" w:cs="宋体" w:hint="eastAsia"/>
          <w:kern w:val="0"/>
          <w:sz w:val="24"/>
          <w:szCs w:val="24"/>
        </w:rPr>
        <w:t>担任。宁波市于2013年2月成立了宁波低碳城市建筑节能和可再生能源应用项目领导小组，</w:t>
      </w:r>
      <w:r w:rsidR="00887AE6" w:rsidRPr="00887AE6">
        <w:rPr>
          <w:rFonts w:ascii="宋体" w:hAnsi="宋体" w:cs="宋体" w:hint="eastAsia"/>
          <w:kern w:val="0"/>
          <w:sz w:val="24"/>
          <w:szCs w:val="24"/>
        </w:rPr>
        <w:t>由宁波市政府、住建委、发改委、财政局、规划局、象山县政府、大目湾管委会、宁波大学等相关单位组成，分管副市长任组长。领导小组下设项目管理办公室，</w:t>
      </w:r>
      <w:r w:rsidR="00887AE6" w:rsidRPr="00887AE6">
        <w:rPr>
          <w:rFonts w:ascii="宋体" w:hAnsi="宋体" w:cs="宋体" w:hint="eastAsia"/>
          <w:kern w:val="0"/>
          <w:sz w:val="24"/>
          <w:szCs w:val="24"/>
        </w:rPr>
        <w:lastRenderedPageBreak/>
        <w:t>具体负责项目的组织实施和协调、采购管理、财务管理、进展与质量监</w:t>
      </w:r>
      <w:r w:rsidR="00887AE6" w:rsidRPr="00887AE6">
        <w:rPr>
          <w:rFonts w:ascii="宋体" w:hAnsi="宋体" w:cs="宋体"/>
          <w:kern w:val="0"/>
          <w:sz w:val="24"/>
          <w:szCs w:val="24"/>
        </w:rPr>
        <w:t>督</w:t>
      </w:r>
      <w:r w:rsidR="00887AE6" w:rsidRPr="00887AE6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14860" w:rsidRPr="004424BC" w:rsidRDefault="00814860" w:rsidP="00C878C6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4424BC">
        <w:rPr>
          <w:rFonts w:ascii="宋体" w:hAnsi="宋体" w:cs="宋体" w:hint="eastAsia"/>
          <w:b/>
          <w:sz w:val="24"/>
          <w:szCs w:val="24"/>
        </w:rPr>
        <w:t>工作范围</w:t>
      </w:r>
      <w:bookmarkEnd w:id="0"/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本项目工作范围包括从投入到成效的所有内容。时间范围从20</w:t>
      </w:r>
      <w:r w:rsidR="004424BC">
        <w:rPr>
          <w:rFonts w:ascii="宋体" w:hAnsi="宋体" w:cs="宋体" w:hint="eastAsia"/>
          <w:sz w:val="24"/>
          <w:szCs w:val="24"/>
        </w:rPr>
        <w:t>13</w:t>
      </w:r>
      <w:r w:rsidRPr="00324CDB">
        <w:rPr>
          <w:rFonts w:ascii="宋体" w:hAnsi="宋体" w:cs="宋体" w:hint="eastAsia"/>
          <w:sz w:val="24"/>
          <w:szCs w:val="24"/>
        </w:rPr>
        <w:t>年</w:t>
      </w:r>
      <w:r w:rsidR="004424BC" w:rsidRPr="00887AE6">
        <w:rPr>
          <w:rFonts w:ascii="宋体" w:hAnsi="宋体" w:cs="宋体" w:hint="eastAsia"/>
          <w:sz w:val="24"/>
          <w:szCs w:val="24"/>
        </w:rPr>
        <w:t>8</w:t>
      </w:r>
      <w:r w:rsidRPr="00324CDB">
        <w:rPr>
          <w:rFonts w:ascii="宋体" w:hAnsi="宋体" w:cs="宋体" w:hint="eastAsia"/>
          <w:sz w:val="24"/>
          <w:szCs w:val="24"/>
        </w:rPr>
        <w:t>月</w:t>
      </w:r>
      <w:r w:rsidR="004424BC">
        <w:rPr>
          <w:rFonts w:ascii="宋体" w:hAnsi="宋体" w:cs="宋体" w:hint="eastAsia"/>
          <w:sz w:val="24"/>
          <w:szCs w:val="24"/>
        </w:rPr>
        <w:t>26日</w:t>
      </w:r>
      <w:r w:rsidRPr="00324CDB">
        <w:rPr>
          <w:rFonts w:ascii="宋体" w:hAnsi="宋体" w:cs="宋体" w:hint="eastAsia"/>
          <w:sz w:val="24"/>
          <w:szCs w:val="24"/>
        </w:rPr>
        <w:t>项目生效到20</w:t>
      </w:r>
      <w:r w:rsidR="004424BC">
        <w:rPr>
          <w:rFonts w:ascii="宋体" w:hAnsi="宋体" w:cs="宋体" w:hint="eastAsia"/>
          <w:sz w:val="24"/>
          <w:szCs w:val="24"/>
        </w:rPr>
        <w:t>19</w:t>
      </w:r>
      <w:r w:rsidRPr="00324CDB">
        <w:rPr>
          <w:rFonts w:ascii="宋体" w:hAnsi="宋体" w:cs="宋体" w:hint="eastAsia"/>
          <w:sz w:val="24"/>
          <w:szCs w:val="24"/>
        </w:rPr>
        <w:t>年</w:t>
      </w:r>
      <w:r w:rsidR="004424BC">
        <w:rPr>
          <w:rFonts w:ascii="宋体" w:hAnsi="宋体" w:cs="宋体" w:hint="eastAsia"/>
          <w:sz w:val="24"/>
          <w:szCs w:val="24"/>
        </w:rPr>
        <w:t>12</w:t>
      </w:r>
      <w:r w:rsidRPr="00324CDB">
        <w:rPr>
          <w:rFonts w:ascii="宋体" w:hAnsi="宋体" w:cs="宋体" w:hint="eastAsia"/>
          <w:sz w:val="24"/>
          <w:szCs w:val="24"/>
        </w:rPr>
        <w:t>月</w:t>
      </w:r>
      <w:r w:rsidR="004424BC">
        <w:rPr>
          <w:rFonts w:ascii="宋体" w:hAnsi="宋体" w:cs="宋体" w:hint="eastAsia"/>
          <w:sz w:val="24"/>
          <w:szCs w:val="24"/>
        </w:rPr>
        <w:t>31日</w:t>
      </w:r>
      <w:r w:rsidRPr="00324CDB">
        <w:rPr>
          <w:rFonts w:ascii="宋体" w:hAnsi="宋体" w:cs="宋体" w:hint="eastAsia"/>
          <w:sz w:val="24"/>
          <w:szCs w:val="24"/>
        </w:rPr>
        <w:t>贷款关账之时，项目内容范围包括</w:t>
      </w:r>
      <w:r w:rsidR="004424BC">
        <w:rPr>
          <w:rFonts w:ascii="宋体" w:hAnsi="宋体" w:cs="宋体" w:hint="eastAsia"/>
          <w:sz w:val="24"/>
          <w:szCs w:val="24"/>
        </w:rPr>
        <w:t>全球环境基金赠款宁波建筑节能和可再生能源项目涉及的所有项目</w:t>
      </w:r>
      <w:r w:rsidRPr="00324CDB">
        <w:rPr>
          <w:rFonts w:ascii="宋体" w:hAnsi="宋体" w:cs="宋体" w:hint="eastAsia"/>
          <w:sz w:val="24"/>
          <w:szCs w:val="24"/>
        </w:rPr>
        <w:t>内容</w:t>
      </w:r>
      <w:r w:rsidR="004424BC">
        <w:rPr>
          <w:rFonts w:ascii="宋体" w:hAnsi="宋体" w:cs="宋体" w:hint="eastAsia"/>
          <w:sz w:val="24"/>
          <w:szCs w:val="24"/>
        </w:rPr>
        <w:t>、实施情况、成果应用</w:t>
      </w:r>
      <w:r w:rsidRPr="00324CDB">
        <w:rPr>
          <w:rFonts w:ascii="宋体" w:hAnsi="宋体" w:cs="宋体" w:hint="eastAsia"/>
          <w:sz w:val="24"/>
          <w:szCs w:val="24"/>
        </w:rPr>
        <w:t>以及项目受益群体的受益情况，项目空间范围</w:t>
      </w:r>
      <w:r w:rsidR="004424BC">
        <w:rPr>
          <w:rFonts w:ascii="宋体" w:hAnsi="宋体" w:cs="宋体" w:hint="eastAsia"/>
          <w:sz w:val="24"/>
          <w:szCs w:val="24"/>
        </w:rPr>
        <w:t>覆盖宁波市辖所有县市区</w:t>
      </w:r>
      <w:r w:rsidRPr="00324CDB">
        <w:rPr>
          <w:rFonts w:ascii="宋体" w:hAnsi="宋体" w:cs="宋体" w:hint="eastAsia"/>
          <w:sz w:val="24"/>
          <w:szCs w:val="24"/>
        </w:rPr>
        <w:t>。</w:t>
      </w:r>
    </w:p>
    <w:p w:rsidR="00814860" w:rsidRPr="00B01B70" w:rsidRDefault="00814860" w:rsidP="00C878C6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B01B70">
        <w:rPr>
          <w:rFonts w:ascii="宋体" w:hAnsi="宋体" w:cs="宋体" w:hint="eastAsia"/>
          <w:b/>
          <w:sz w:val="24"/>
          <w:szCs w:val="24"/>
        </w:rPr>
        <w:t>关键评价</w:t>
      </w:r>
      <w:r w:rsidR="00887AE6">
        <w:rPr>
          <w:rFonts w:ascii="宋体" w:hAnsi="宋体" w:cs="宋体" w:hint="eastAsia"/>
          <w:b/>
          <w:sz w:val="24"/>
          <w:szCs w:val="24"/>
        </w:rPr>
        <w:t>事项</w:t>
      </w:r>
    </w:p>
    <w:p w:rsidR="00814860" w:rsidRPr="00324CDB" w:rsidRDefault="00814860" w:rsidP="00800D5E">
      <w:pPr>
        <w:spacing w:line="54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324CDB">
        <w:rPr>
          <w:rFonts w:ascii="宋体" w:hAnsi="宋体" w:cs="宋体" w:hint="eastAsia"/>
          <w:b/>
          <w:sz w:val="24"/>
          <w:szCs w:val="24"/>
        </w:rPr>
        <w:t>（1）完工报告需要评价的</w:t>
      </w:r>
      <w:r w:rsidR="00887AE6">
        <w:rPr>
          <w:rFonts w:ascii="宋体" w:hAnsi="宋体" w:cs="宋体" w:hint="eastAsia"/>
          <w:b/>
          <w:sz w:val="24"/>
          <w:szCs w:val="24"/>
        </w:rPr>
        <w:t>事项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根据世行完工报告要求、世行项目评估报告（PAD）中的成果框架和监测指标的要求、以及贷款协定中对项目后评价的相关要求，从项目的相关性、效率、效果以及可持续性角度对项目完工报告提出建议和细化的评价问题。</w:t>
      </w:r>
    </w:p>
    <w:p w:rsidR="00814860" w:rsidRPr="00B01B70" w:rsidRDefault="00814860" w:rsidP="00800D5E">
      <w:pPr>
        <w:spacing w:line="54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B01B70">
        <w:rPr>
          <w:rFonts w:ascii="宋体" w:hAnsi="宋体" w:cs="宋体" w:hint="eastAsia"/>
          <w:b/>
          <w:sz w:val="24"/>
          <w:szCs w:val="24"/>
        </w:rPr>
        <w:t>（2）财政绩效评价报告需要评价的</w:t>
      </w:r>
      <w:r w:rsidR="00887AE6">
        <w:rPr>
          <w:rFonts w:ascii="宋体" w:hAnsi="宋体" w:cs="宋体" w:hint="eastAsia"/>
          <w:b/>
          <w:sz w:val="24"/>
          <w:szCs w:val="24"/>
        </w:rPr>
        <w:t>事项</w:t>
      </w:r>
    </w:p>
    <w:p w:rsidR="00814860" w:rsidRPr="00B01B70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B01B70">
        <w:rPr>
          <w:rFonts w:ascii="宋体" w:hAnsi="宋体" w:cs="宋体" w:hint="eastAsia"/>
          <w:sz w:val="24"/>
          <w:szCs w:val="24"/>
        </w:rPr>
        <w:t>从项目的相关性、效率、效果以及可持续性角度，根据《国际金融组织贷款项目绩效评价操作指南》</w:t>
      </w:r>
      <w:bookmarkStart w:id="1" w:name="OLE_LINK4"/>
      <w:bookmarkStart w:id="2" w:name="OLE_LINK3"/>
      <w:r w:rsidRPr="00B01B70">
        <w:rPr>
          <w:rFonts w:ascii="宋体" w:hAnsi="宋体" w:cs="宋体" w:hint="eastAsia"/>
          <w:sz w:val="24"/>
          <w:szCs w:val="24"/>
        </w:rPr>
        <w:t>中的关键评价问题</w:t>
      </w:r>
      <w:bookmarkEnd w:id="1"/>
      <w:bookmarkEnd w:id="2"/>
      <w:r w:rsidRPr="00B01B70">
        <w:rPr>
          <w:rFonts w:ascii="宋体" w:hAnsi="宋体" w:cs="宋体" w:hint="eastAsia"/>
          <w:sz w:val="24"/>
          <w:szCs w:val="24"/>
        </w:rPr>
        <w:t>对本项目财政绩效评价报告提出建议并做出评价。</w:t>
      </w:r>
    </w:p>
    <w:p w:rsidR="00814860" w:rsidRPr="00324CDB" w:rsidRDefault="00814860" w:rsidP="00C878C6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324CDB">
        <w:rPr>
          <w:rFonts w:ascii="宋体" w:hAnsi="宋体" w:cs="宋体" w:hint="eastAsia"/>
          <w:b/>
          <w:sz w:val="24"/>
          <w:szCs w:val="24"/>
        </w:rPr>
        <w:t>评价方法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为了完成本次任务，咨询</w:t>
      </w:r>
      <w:r w:rsidR="004424BC">
        <w:rPr>
          <w:rFonts w:ascii="宋体" w:hAnsi="宋体" w:cs="宋体" w:hint="eastAsia"/>
          <w:sz w:val="24"/>
          <w:szCs w:val="24"/>
        </w:rPr>
        <w:t>单位</w:t>
      </w:r>
      <w:r w:rsidRPr="00324CDB">
        <w:rPr>
          <w:rFonts w:ascii="宋体" w:hAnsi="宋体" w:cs="宋体" w:hint="eastAsia"/>
          <w:sz w:val="24"/>
          <w:szCs w:val="24"/>
        </w:rPr>
        <w:t>应使用（但不限于）以下几种证据搜集方法：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（1）</w:t>
      </w:r>
      <w:r w:rsidRPr="00324CDB">
        <w:rPr>
          <w:rFonts w:ascii="宋体" w:hAnsi="宋体" w:cs="宋体" w:hint="eastAsia"/>
          <w:b/>
          <w:sz w:val="24"/>
          <w:szCs w:val="24"/>
        </w:rPr>
        <w:t>案卷研究：</w:t>
      </w:r>
      <w:r w:rsidRPr="00324CDB">
        <w:rPr>
          <w:rFonts w:ascii="宋体" w:hAnsi="宋体" w:cs="宋体" w:hint="eastAsia"/>
          <w:sz w:val="24"/>
          <w:szCs w:val="24"/>
        </w:rPr>
        <w:t>对项目文件进行深入研究、比较和分析，包括：项目评估文件（PAD），项目实施计划（PIP），贷款协定，项目协议，项目中期完工报告，项目检查备忘录，项目执行进度</w:t>
      </w:r>
      <w:r w:rsidRPr="00B01B70">
        <w:rPr>
          <w:rFonts w:ascii="宋体" w:hAnsi="宋体" w:cs="宋体" w:hint="eastAsia"/>
          <w:sz w:val="24"/>
          <w:szCs w:val="24"/>
        </w:rPr>
        <w:t>报告，环境、社会评价、移民等方面的过程监测报告，可持续运行的管理办法、政策性文件、各类专题研究报告等；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（2）</w:t>
      </w:r>
      <w:r w:rsidRPr="00324CDB">
        <w:rPr>
          <w:rFonts w:ascii="宋体" w:hAnsi="宋体" w:cs="宋体" w:hint="eastAsia"/>
          <w:b/>
          <w:sz w:val="24"/>
          <w:szCs w:val="24"/>
        </w:rPr>
        <w:t>面访：</w:t>
      </w:r>
      <w:r w:rsidRPr="00324CDB">
        <w:rPr>
          <w:rFonts w:ascii="宋体" w:hAnsi="宋体" w:cs="宋体" w:hint="eastAsia"/>
          <w:sz w:val="24"/>
          <w:szCs w:val="24"/>
        </w:rPr>
        <w:t>针对三个子项目的不同特点和关键问题，直接听取项目管理者、相关部门政府官员、实施人员和运行或参与项目设计、实施等项目单位人员或行业专家、项目目标受益群体、实际受益群体的意见，核实项目的有关事实和信息；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（3）</w:t>
      </w:r>
      <w:r w:rsidRPr="00324CDB">
        <w:rPr>
          <w:rFonts w:ascii="宋体" w:hAnsi="宋体" w:cs="宋体" w:hint="eastAsia"/>
          <w:b/>
          <w:sz w:val="24"/>
          <w:szCs w:val="24"/>
        </w:rPr>
        <w:t>座谈会：</w:t>
      </w:r>
      <w:r w:rsidRPr="00324CDB">
        <w:rPr>
          <w:rFonts w:ascii="宋体" w:hAnsi="宋体" w:cs="宋体" w:hint="eastAsia"/>
          <w:sz w:val="24"/>
          <w:szCs w:val="24"/>
        </w:rPr>
        <w:t>针对相关政府部门、项目办、项目实施和运行机构、行业专</w:t>
      </w:r>
      <w:r w:rsidRPr="00324CDB">
        <w:rPr>
          <w:rFonts w:ascii="宋体" w:hAnsi="宋体" w:cs="宋体" w:hint="eastAsia"/>
          <w:sz w:val="24"/>
          <w:szCs w:val="24"/>
        </w:rPr>
        <w:lastRenderedPageBreak/>
        <w:t>家和其他利益相关者等，召开不同主题的座谈会。以便了解项目带来的环境生态变化、以及不同群体对这些变化产生的感受等情况；</w:t>
      </w:r>
    </w:p>
    <w:p w:rsidR="00814860" w:rsidRPr="00324CDB" w:rsidRDefault="00814860" w:rsidP="00800D5E">
      <w:pPr>
        <w:pStyle w:val="Default"/>
        <w:spacing w:line="540" w:lineRule="exact"/>
        <w:ind w:firstLineChars="200" w:firstLine="480"/>
        <w:rPr>
          <w:rFonts w:hAnsi="宋体"/>
        </w:rPr>
      </w:pPr>
      <w:r w:rsidRPr="00324CDB">
        <w:rPr>
          <w:rFonts w:hAnsi="宋体" w:hint="eastAsia"/>
          <w:color w:val="auto"/>
          <w:kern w:val="2"/>
        </w:rPr>
        <w:t>（4）</w:t>
      </w:r>
      <w:r w:rsidRPr="00324CDB">
        <w:rPr>
          <w:rFonts w:hAnsi="宋体" w:hint="eastAsia"/>
          <w:b/>
        </w:rPr>
        <w:t>问卷调查：</w:t>
      </w:r>
      <w:r w:rsidRPr="00324CDB">
        <w:rPr>
          <w:rFonts w:hAnsi="宋体" w:hint="eastAsia"/>
        </w:rPr>
        <w:t>对每个子项目相关受益人群（拆迁群众、项目目标受益群体等）组织问卷</w:t>
      </w:r>
      <w:r w:rsidRPr="004828A8">
        <w:rPr>
          <w:rFonts w:hAnsi="宋体" w:hint="eastAsia"/>
          <w:color w:val="auto"/>
        </w:rPr>
        <w:t>调查。选择适当数量的村庄和相应的涉及受益人群进行调查，调</w:t>
      </w:r>
      <w:r w:rsidRPr="00324CDB">
        <w:rPr>
          <w:rFonts w:hAnsi="宋体" w:hint="eastAsia"/>
        </w:rPr>
        <w:t>查内容应覆盖选村、工艺设计接户、村民参与、施工过程、验收、运营安排、运行资金、环境卫生效益、建议等；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（5）</w:t>
      </w:r>
      <w:r w:rsidRPr="00324CDB">
        <w:rPr>
          <w:rFonts w:ascii="宋体" w:hAnsi="宋体" w:cs="宋体" w:hint="eastAsia"/>
          <w:b/>
          <w:sz w:val="24"/>
          <w:szCs w:val="24"/>
        </w:rPr>
        <w:t>实地调研：</w:t>
      </w:r>
      <w:r w:rsidRPr="00324CDB">
        <w:rPr>
          <w:rFonts w:ascii="宋体" w:hAnsi="宋体" w:cs="宋体" w:hint="eastAsia"/>
          <w:sz w:val="24"/>
          <w:szCs w:val="24"/>
        </w:rPr>
        <w:t>对项目实施地及项目目标覆盖区域进行实地调研，进一步听取相关项目单位、其他利益相关者的意见和观点，了解真实情况，掌握一手资料。</w:t>
      </w:r>
    </w:p>
    <w:p w:rsidR="00814860" w:rsidRPr="00324CDB" w:rsidRDefault="00814860" w:rsidP="00C878C6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324CDB">
        <w:rPr>
          <w:rFonts w:ascii="宋体" w:hAnsi="宋体" w:cs="宋体" w:hint="eastAsia"/>
          <w:b/>
          <w:sz w:val="24"/>
          <w:szCs w:val="24"/>
        </w:rPr>
        <w:t>交付成果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（1）提交符合世行要求的</w:t>
      </w:r>
      <w:r w:rsidR="004566F7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受款人</w:t>
      </w:r>
      <w:r w:rsidRPr="00324CDB">
        <w:rPr>
          <w:rFonts w:ascii="宋体" w:hAnsi="宋体" w:cs="宋体" w:hint="eastAsia"/>
          <w:sz w:val="24"/>
          <w:szCs w:val="24"/>
        </w:rPr>
        <w:t>完工报告（中英文）。</w:t>
      </w:r>
    </w:p>
    <w:p w:rsidR="00814860" w:rsidRPr="00324CDB" w:rsidRDefault="0081486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（2）提交符合财政部规范要求的项目财政绩效评价报告（中文）。</w:t>
      </w:r>
    </w:p>
    <w:p w:rsidR="00226A40" w:rsidRDefault="00226A40" w:rsidP="00C878C6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人员投入</w:t>
      </w:r>
      <w:r w:rsidR="00332298">
        <w:rPr>
          <w:rFonts w:ascii="宋体" w:hAnsi="宋体" w:cs="宋体" w:hint="eastAsia"/>
          <w:b/>
          <w:sz w:val="24"/>
          <w:szCs w:val="24"/>
        </w:rPr>
        <w:t>建议</w:t>
      </w:r>
    </w:p>
    <w:p w:rsidR="00226A40" w:rsidRPr="00226A40" w:rsidRDefault="00226A4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226A40">
        <w:rPr>
          <w:rFonts w:ascii="宋体" w:hAnsi="宋体" w:cs="宋体" w:hint="eastAsia"/>
          <w:sz w:val="24"/>
          <w:szCs w:val="24"/>
        </w:rPr>
        <w:t>（1）资询团队的组成</w:t>
      </w:r>
    </w:p>
    <w:p w:rsidR="00814860" w:rsidRPr="00324CDB" w:rsidRDefault="00226A40" w:rsidP="00800D5E">
      <w:pPr>
        <w:spacing w:line="5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226A40">
        <w:rPr>
          <w:rFonts w:ascii="宋体" w:hAnsi="宋体" w:cs="宋体" w:hint="eastAsia"/>
          <w:sz w:val="24"/>
          <w:szCs w:val="24"/>
        </w:rPr>
        <w:t>根据任务大纲，咨询机构需组建合格的技术团队，其中：专家组组长 1 人，主要负责完工报告</w:t>
      </w:r>
      <w:r>
        <w:rPr>
          <w:rFonts w:ascii="宋体" w:hAnsi="宋体" w:cs="宋体" w:hint="eastAsia"/>
          <w:sz w:val="24"/>
          <w:szCs w:val="24"/>
        </w:rPr>
        <w:t>和绩效评价报告的</w:t>
      </w:r>
      <w:r w:rsidRPr="00226A40">
        <w:rPr>
          <w:rFonts w:ascii="宋体" w:hAnsi="宋体" w:cs="宋体" w:hint="eastAsia"/>
          <w:sz w:val="24"/>
          <w:szCs w:val="24"/>
        </w:rPr>
        <w:t>总体设计、过程监管、材料审核等；</w:t>
      </w:r>
      <w:r w:rsidR="005023B2">
        <w:rPr>
          <w:rFonts w:ascii="宋体" w:hAnsi="宋体" w:cs="宋体" w:hint="eastAsia"/>
          <w:sz w:val="24"/>
          <w:szCs w:val="24"/>
        </w:rPr>
        <w:t>团队应包括绩效评价、</w:t>
      </w:r>
      <w:r>
        <w:rPr>
          <w:rFonts w:ascii="宋体" w:hAnsi="宋体" w:cs="宋体" w:hint="eastAsia"/>
          <w:sz w:val="24"/>
          <w:szCs w:val="24"/>
        </w:rPr>
        <w:t>建筑节能、</w:t>
      </w:r>
      <w:r w:rsidR="00332298">
        <w:rPr>
          <w:rFonts w:ascii="宋体" w:hAnsi="宋体" w:cs="宋体" w:hint="eastAsia"/>
          <w:sz w:val="24"/>
          <w:szCs w:val="24"/>
        </w:rPr>
        <w:t>规划、</w:t>
      </w:r>
      <w:r w:rsidRPr="00226A40">
        <w:rPr>
          <w:rFonts w:ascii="宋体" w:hAnsi="宋体" w:cs="宋体" w:hint="eastAsia"/>
          <w:sz w:val="24"/>
          <w:szCs w:val="24"/>
        </w:rPr>
        <w:t>财务等领域专家 ，具体负责资料收集、调查研究、报告编制等</w:t>
      </w:r>
      <w:r w:rsidR="005023B2">
        <w:rPr>
          <w:rFonts w:ascii="宋体" w:hAnsi="宋体" w:cs="宋体" w:hint="eastAsia"/>
          <w:sz w:val="24"/>
          <w:szCs w:val="24"/>
        </w:rPr>
        <w:t>。</w:t>
      </w:r>
      <w:r w:rsidR="00814860" w:rsidRPr="00324CDB">
        <w:rPr>
          <w:rFonts w:ascii="宋体" w:hAnsi="宋体" w:cs="宋体" w:hint="eastAsia"/>
          <w:sz w:val="24"/>
          <w:szCs w:val="24"/>
        </w:rPr>
        <w:t>建议人员投入如下：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768"/>
        <w:gridCol w:w="2544"/>
      </w:tblGrid>
      <w:tr w:rsidR="00814860" w:rsidRPr="00324CDB" w:rsidTr="007A3E71">
        <w:trPr>
          <w:trHeight w:hRule="exact" w:val="561"/>
          <w:jc w:val="center"/>
        </w:trPr>
        <w:tc>
          <w:tcPr>
            <w:tcW w:w="5768" w:type="dxa"/>
          </w:tcPr>
          <w:p w:rsidR="00814860" w:rsidRPr="00324CDB" w:rsidRDefault="00814860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专家类别</w:t>
            </w:r>
          </w:p>
        </w:tc>
        <w:tc>
          <w:tcPr>
            <w:tcW w:w="2544" w:type="dxa"/>
          </w:tcPr>
          <w:p w:rsidR="00814860" w:rsidRPr="00324CDB" w:rsidRDefault="00814860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人月</w:t>
            </w:r>
          </w:p>
        </w:tc>
      </w:tr>
      <w:tr w:rsidR="00814860" w:rsidRPr="00324CDB" w:rsidTr="007A3E71">
        <w:trPr>
          <w:trHeight w:hRule="exact" w:val="547"/>
          <w:jc w:val="center"/>
        </w:trPr>
        <w:tc>
          <w:tcPr>
            <w:tcW w:w="5768" w:type="dxa"/>
          </w:tcPr>
          <w:p w:rsidR="00814860" w:rsidRPr="00324CDB" w:rsidRDefault="00814860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  <w:r w:rsidR="007135B7">
              <w:rPr>
                <w:rFonts w:ascii="宋体" w:hAnsi="宋体" w:cs="宋体" w:hint="eastAsia"/>
                <w:sz w:val="24"/>
                <w:szCs w:val="24"/>
              </w:rPr>
              <w:t>（须兼任技术专家）</w:t>
            </w:r>
          </w:p>
        </w:tc>
        <w:tc>
          <w:tcPr>
            <w:tcW w:w="2544" w:type="dxa"/>
          </w:tcPr>
          <w:p w:rsidR="00814860" w:rsidRPr="00324CDB" w:rsidRDefault="002F5E06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</w:tr>
      <w:tr w:rsidR="00814860" w:rsidRPr="00324CDB" w:rsidTr="007A3E71">
        <w:trPr>
          <w:trHeight w:hRule="exact" w:val="547"/>
          <w:jc w:val="center"/>
        </w:trPr>
        <w:tc>
          <w:tcPr>
            <w:tcW w:w="5768" w:type="dxa"/>
          </w:tcPr>
          <w:p w:rsidR="00814860" w:rsidRPr="00324CDB" w:rsidRDefault="00814860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绩效评价专家</w:t>
            </w:r>
          </w:p>
        </w:tc>
        <w:tc>
          <w:tcPr>
            <w:tcW w:w="2544" w:type="dxa"/>
          </w:tcPr>
          <w:p w:rsidR="00814860" w:rsidRPr="00324CDB" w:rsidRDefault="002F5E06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</w:tr>
      <w:tr w:rsidR="00814860" w:rsidRPr="00324CDB" w:rsidTr="007A3E71">
        <w:trPr>
          <w:trHeight w:hRule="exact" w:val="541"/>
          <w:jc w:val="center"/>
        </w:trPr>
        <w:tc>
          <w:tcPr>
            <w:tcW w:w="5768" w:type="dxa"/>
          </w:tcPr>
          <w:p w:rsidR="00814860" w:rsidRPr="00324CDB" w:rsidRDefault="007135B7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</w:t>
            </w:r>
            <w:r w:rsidR="002F5E06">
              <w:rPr>
                <w:rFonts w:ascii="宋体" w:hAnsi="宋体" w:cs="宋体" w:hint="eastAsia"/>
                <w:sz w:val="24"/>
                <w:szCs w:val="24"/>
              </w:rPr>
              <w:t>节能专家</w:t>
            </w:r>
          </w:p>
        </w:tc>
        <w:tc>
          <w:tcPr>
            <w:tcW w:w="2544" w:type="dxa"/>
          </w:tcPr>
          <w:p w:rsidR="00814860" w:rsidRPr="00324CDB" w:rsidRDefault="002F5E06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</w:tr>
      <w:tr w:rsidR="00814860" w:rsidRPr="00324CDB" w:rsidTr="007A3E71">
        <w:trPr>
          <w:trHeight w:hRule="exact" w:val="541"/>
          <w:jc w:val="center"/>
        </w:trPr>
        <w:tc>
          <w:tcPr>
            <w:tcW w:w="5768" w:type="dxa"/>
          </w:tcPr>
          <w:p w:rsidR="00814860" w:rsidRPr="00324CDB" w:rsidRDefault="002F5E06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城市规划专家</w:t>
            </w:r>
          </w:p>
        </w:tc>
        <w:tc>
          <w:tcPr>
            <w:tcW w:w="2544" w:type="dxa"/>
          </w:tcPr>
          <w:p w:rsidR="00814860" w:rsidRPr="00324CDB" w:rsidRDefault="002F5E06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814860" w:rsidRPr="00324CDB" w:rsidTr="007A3E71">
        <w:trPr>
          <w:trHeight w:hRule="exact" w:val="541"/>
          <w:jc w:val="center"/>
        </w:trPr>
        <w:tc>
          <w:tcPr>
            <w:tcW w:w="5768" w:type="dxa"/>
          </w:tcPr>
          <w:p w:rsidR="00814860" w:rsidRPr="00324CDB" w:rsidRDefault="00814860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财务专家</w:t>
            </w:r>
          </w:p>
        </w:tc>
        <w:tc>
          <w:tcPr>
            <w:tcW w:w="2544" w:type="dxa"/>
          </w:tcPr>
          <w:p w:rsidR="00814860" w:rsidRPr="00324CDB" w:rsidRDefault="00814860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</w:tr>
      <w:tr w:rsidR="00814860" w:rsidRPr="00324CDB" w:rsidTr="007A3E71">
        <w:trPr>
          <w:trHeight w:hRule="exact" w:val="541"/>
          <w:jc w:val="center"/>
        </w:trPr>
        <w:tc>
          <w:tcPr>
            <w:tcW w:w="5768" w:type="dxa"/>
          </w:tcPr>
          <w:p w:rsidR="00814860" w:rsidRPr="00324CDB" w:rsidRDefault="00814860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2544" w:type="dxa"/>
          </w:tcPr>
          <w:p w:rsidR="00814860" w:rsidRPr="00324CDB" w:rsidRDefault="002F5E06" w:rsidP="004566F7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</w:tr>
    </w:tbl>
    <w:p w:rsidR="00226A40" w:rsidRDefault="00226A40" w:rsidP="0081486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814860" w:rsidRPr="00324CDB" w:rsidRDefault="00226A40" w:rsidP="0081486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lastRenderedPageBreak/>
        <w:t>本咨询服务</w:t>
      </w:r>
      <w:r>
        <w:rPr>
          <w:rFonts w:ascii="宋体" w:hAnsi="宋体" w:cs="宋体" w:hint="eastAsia"/>
          <w:sz w:val="24"/>
          <w:szCs w:val="24"/>
        </w:rPr>
        <w:t>将采用总包合同，</w:t>
      </w:r>
      <w:r w:rsidRPr="00324CDB">
        <w:rPr>
          <w:rFonts w:ascii="宋体" w:hAnsi="宋体" w:cs="宋体" w:hint="eastAsia"/>
          <w:sz w:val="24"/>
          <w:szCs w:val="24"/>
        </w:rPr>
        <w:t>费用包括人工费，以及调研座谈、培训、会议、交通等一切所需费用。将按照任务和成果交付节点，分阶段进行支付。</w:t>
      </w:r>
      <w:r w:rsidR="002F5E06">
        <w:rPr>
          <w:rFonts w:ascii="宋体" w:hAnsi="宋体" w:cs="宋体" w:hint="eastAsia"/>
          <w:sz w:val="24"/>
          <w:szCs w:val="24"/>
        </w:rPr>
        <w:t>具体支付计划在合同中约定。</w:t>
      </w:r>
    </w:p>
    <w:p w:rsidR="00814860" w:rsidRPr="00F00653" w:rsidRDefault="00814860" w:rsidP="00C878C6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F00653">
        <w:rPr>
          <w:rFonts w:ascii="宋体" w:hAnsi="宋体" w:cs="宋体" w:hint="eastAsia"/>
          <w:b/>
          <w:sz w:val="24"/>
          <w:szCs w:val="24"/>
        </w:rPr>
        <w:t>实施计划</w:t>
      </w:r>
    </w:p>
    <w:p w:rsidR="00814860" w:rsidRPr="00F00653" w:rsidRDefault="00814860" w:rsidP="0081486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F00653">
        <w:rPr>
          <w:rFonts w:ascii="宋体" w:hAnsi="宋体" w:cs="宋体" w:hint="eastAsia"/>
          <w:sz w:val="24"/>
          <w:szCs w:val="24"/>
        </w:rPr>
        <w:t>本次任务将于20</w:t>
      </w:r>
      <w:r w:rsidR="00126707">
        <w:rPr>
          <w:rFonts w:ascii="宋体" w:hAnsi="宋体" w:cs="宋体" w:hint="eastAsia"/>
          <w:sz w:val="24"/>
          <w:szCs w:val="24"/>
        </w:rPr>
        <w:t>19</w:t>
      </w:r>
      <w:r w:rsidRPr="00F00653">
        <w:rPr>
          <w:rFonts w:ascii="宋体" w:hAnsi="宋体" w:cs="宋体" w:hint="eastAsia"/>
          <w:sz w:val="24"/>
          <w:szCs w:val="24"/>
        </w:rPr>
        <w:t>年</w:t>
      </w:r>
      <w:r w:rsidR="00126707">
        <w:rPr>
          <w:rFonts w:ascii="宋体" w:hAnsi="宋体" w:cs="宋体" w:hint="eastAsia"/>
          <w:sz w:val="24"/>
          <w:szCs w:val="24"/>
          <w:u w:val="single"/>
        </w:rPr>
        <w:t>8</w:t>
      </w:r>
      <w:r w:rsidRPr="00F00653">
        <w:rPr>
          <w:rFonts w:ascii="宋体" w:hAnsi="宋体" w:cs="宋体" w:hint="eastAsia"/>
          <w:sz w:val="24"/>
          <w:szCs w:val="24"/>
        </w:rPr>
        <w:t>月开始，</w:t>
      </w:r>
      <w:r w:rsidR="00126707">
        <w:rPr>
          <w:rFonts w:ascii="宋体" w:hAnsi="宋体" w:cs="宋体" w:hint="eastAsia"/>
          <w:sz w:val="24"/>
          <w:szCs w:val="24"/>
        </w:rPr>
        <w:t>2019</w:t>
      </w:r>
      <w:r w:rsidRPr="00F00653">
        <w:rPr>
          <w:rFonts w:ascii="宋体" w:hAnsi="宋体" w:cs="宋体" w:hint="eastAsia"/>
          <w:sz w:val="24"/>
          <w:szCs w:val="24"/>
        </w:rPr>
        <w:t>年</w:t>
      </w:r>
      <w:r w:rsidRPr="00F00653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 w:rsidR="00126707">
        <w:rPr>
          <w:rFonts w:ascii="宋体" w:hAnsi="宋体" w:cs="宋体" w:hint="eastAsia"/>
          <w:sz w:val="24"/>
          <w:szCs w:val="24"/>
          <w:u w:val="single"/>
        </w:rPr>
        <w:t>12</w:t>
      </w:r>
      <w:r w:rsidRPr="00F00653">
        <w:rPr>
          <w:rFonts w:ascii="宋体" w:hAnsi="宋体" w:cs="宋体" w:hint="eastAsia"/>
          <w:sz w:val="24"/>
          <w:szCs w:val="24"/>
        </w:rPr>
        <w:t>月底结束。以下为初步的计划安排，详细评价任务实施计划的由咨询公司提出。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3536"/>
        <w:gridCol w:w="4252"/>
      </w:tblGrid>
      <w:tr w:rsidR="00126707" w:rsidRPr="00324CDB" w:rsidTr="00126707">
        <w:trPr>
          <w:trHeight w:val="489"/>
        </w:trPr>
        <w:tc>
          <w:tcPr>
            <w:tcW w:w="717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536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活动描述</w:t>
            </w:r>
          </w:p>
        </w:tc>
        <w:tc>
          <w:tcPr>
            <w:tcW w:w="4252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</w:tr>
      <w:tr w:rsidR="00126707" w:rsidRPr="00324CDB" w:rsidTr="00126707">
        <w:trPr>
          <w:trHeight w:val="476"/>
        </w:trPr>
        <w:tc>
          <w:tcPr>
            <w:tcW w:w="717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536" w:type="dxa"/>
            <w:vAlign w:val="center"/>
          </w:tcPr>
          <w:p w:rsidR="00126707" w:rsidRPr="00324CDB" w:rsidRDefault="00126707" w:rsidP="001267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提交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工作计划</w:t>
            </w:r>
          </w:p>
        </w:tc>
        <w:tc>
          <w:tcPr>
            <w:tcW w:w="4252" w:type="dxa"/>
            <w:vAlign w:val="center"/>
          </w:tcPr>
          <w:p w:rsidR="00126707" w:rsidRPr="00324CDB" w:rsidRDefault="00126707" w:rsidP="007A3E7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8月20日</w:t>
            </w:r>
          </w:p>
        </w:tc>
      </w:tr>
      <w:tr w:rsidR="00126707" w:rsidRPr="00324CDB" w:rsidTr="00126707">
        <w:trPr>
          <w:trHeight w:val="476"/>
        </w:trPr>
        <w:tc>
          <w:tcPr>
            <w:tcW w:w="717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536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收集资料及调研</w:t>
            </w:r>
          </w:p>
        </w:tc>
        <w:tc>
          <w:tcPr>
            <w:tcW w:w="4252" w:type="dxa"/>
            <w:vAlign w:val="center"/>
          </w:tcPr>
          <w:p w:rsidR="00126707" w:rsidRPr="00324CDB" w:rsidRDefault="00126707" w:rsidP="0012670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8月20日-9月15日</w:t>
            </w:r>
          </w:p>
        </w:tc>
      </w:tr>
      <w:tr w:rsidR="00126707" w:rsidRPr="00324CDB" w:rsidTr="00126707">
        <w:trPr>
          <w:trHeight w:val="476"/>
        </w:trPr>
        <w:tc>
          <w:tcPr>
            <w:tcW w:w="717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536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撰写报告</w:t>
            </w:r>
          </w:p>
        </w:tc>
        <w:tc>
          <w:tcPr>
            <w:tcW w:w="4252" w:type="dxa"/>
            <w:vAlign w:val="center"/>
          </w:tcPr>
          <w:p w:rsidR="00126707" w:rsidRPr="00324CDB" w:rsidRDefault="00126707" w:rsidP="0012670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9月15日-9月30日</w:t>
            </w:r>
          </w:p>
        </w:tc>
      </w:tr>
      <w:tr w:rsidR="00126707" w:rsidRPr="00324CDB" w:rsidTr="00126707">
        <w:trPr>
          <w:trHeight w:val="476"/>
        </w:trPr>
        <w:tc>
          <w:tcPr>
            <w:tcW w:w="717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536" w:type="dxa"/>
            <w:vAlign w:val="center"/>
          </w:tcPr>
          <w:p w:rsidR="00126707" w:rsidRPr="00324CDB" w:rsidRDefault="00126707" w:rsidP="001267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4CDB">
              <w:rPr>
                <w:rFonts w:ascii="宋体" w:hAnsi="宋体" w:cs="宋体" w:hint="eastAsia"/>
                <w:sz w:val="24"/>
                <w:szCs w:val="24"/>
              </w:rPr>
              <w:t>提交报告初稿</w:t>
            </w:r>
          </w:p>
        </w:tc>
        <w:tc>
          <w:tcPr>
            <w:tcW w:w="4252" w:type="dxa"/>
            <w:vAlign w:val="center"/>
          </w:tcPr>
          <w:p w:rsidR="00126707" w:rsidRPr="00324CDB" w:rsidRDefault="00126707" w:rsidP="007A3E7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9月30日</w:t>
            </w:r>
          </w:p>
        </w:tc>
      </w:tr>
      <w:tr w:rsidR="00126707" w:rsidRPr="00324CDB" w:rsidTr="00126707">
        <w:trPr>
          <w:trHeight w:val="489"/>
        </w:trPr>
        <w:tc>
          <w:tcPr>
            <w:tcW w:w="717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536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修订完善</w:t>
            </w:r>
          </w:p>
        </w:tc>
        <w:tc>
          <w:tcPr>
            <w:tcW w:w="4252" w:type="dxa"/>
            <w:vAlign w:val="center"/>
          </w:tcPr>
          <w:p w:rsidR="00126707" w:rsidRPr="00324CDB" w:rsidRDefault="00126707" w:rsidP="007A3E7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9月30日-12月底</w:t>
            </w:r>
          </w:p>
        </w:tc>
      </w:tr>
      <w:tr w:rsidR="00126707" w:rsidRPr="00324CDB" w:rsidTr="00126707">
        <w:trPr>
          <w:trHeight w:val="476"/>
        </w:trPr>
        <w:tc>
          <w:tcPr>
            <w:tcW w:w="717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536" w:type="dxa"/>
            <w:vAlign w:val="center"/>
          </w:tcPr>
          <w:p w:rsidR="00126707" w:rsidRPr="00324CDB" w:rsidRDefault="00126707" w:rsidP="007A3E7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提交最终报告</w:t>
            </w:r>
          </w:p>
        </w:tc>
        <w:tc>
          <w:tcPr>
            <w:tcW w:w="4252" w:type="dxa"/>
            <w:vAlign w:val="center"/>
          </w:tcPr>
          <w:p w:rsidR="00126707" w:rsidRPr="00324CDB" w:rsidRDefault="00126707" w:rsidP="007A3E7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12月底</w:t>
            </w:r>
          </w:p>
        </w:tc>
      </w:tr>
    </w:tbl>
    <w:p w:rsidR="00814860" w:rsidRPr="00324CDB" w:rsidRDefault="00814860" w:rsidP="00C878C6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宋体" w:hAnsi="宋体" w:cs="宋体"/>
          <w:b/>
          <w:sz w:val="24"/>
          <w:szCs w:val="24"/>
        </w:rPr>
      </w:pPr>
      <w:r w:rsidRPr="00324CDB">
        <w:rPr>
          <w:rFonts w:ascii="宋体" w:hAnsi="宋体" w:cs="宋体" w:hint="eastAsia"/>
          <w:b/>
          <w:sz w:val="24"/>
          <w:szCs w:val="24"/>
        </w:rPr>
        <w:t>监督管理及配合</w:t>
      </w:r>
    </w:p>
    <w:p w:rsidR="00814860" w:rsidRPr="00324CDB" w:rsidRDefault="00814860" w:rsidP="0081486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324CDB">
        <w:rPr>
          <w:rFonts w:ascii="宋体" w:hAnsi="宋体" w:cs="宋体" w:hint="eastAsia"/>
          <w:sz w:val="24"/>
          <w:szCs w:val="24"/>
        </w:rPr>
        <w:t>咨询</w:t>
      </w:r>
      <w:r w:rsidR="00126707">
        <w:rPr>
          <w:rFonts w:ascii="宋体" w:hAnsi="宋体" w:cs="宋体" w:hint="eastAsia"/>
          <w:sz w:val="24"/>
          <w:szCs w:val="24"/>
        </w:rPr>
        <w:t>单位</w:t>
      </w:r>
      <w:r w:rsidRPr="00324CDB">
        <w:rPr>
          <w:rFonts w:ascii="宋体" w:hAnsi="宋体" w:cs="宋体" w:hint="eastAsia"/>
          <w:sz w:val="24"/>
          <w:szCs w:val="24"/>
        </w:rPr>
        <w:t>有责任就项目相关事宜向</w:t>
      </w:r>
      <w:r w:rsidR="00126707">
        <w:rPr>
          <w:rFonts w:ascii="宋体" w:hAnsi="宋体" w:cs="宋体" w:hint="eastAsia"/>
          <w:sz w:val="24"/>
          <w:szCs w:val="24"/>
        </w:rPr>
        <w:t>项目办</w:t>
      </w:r>
      <w:r w:rsidRPr="00324CDB">
        <w:rPr>
          <w:rFonts w:ascii="宋体" w:hAnsi="宋体" w:cs="宋体" w:hint="eastAsia"/>
          <w:sz w:val="24"/>
          <w:szCs w:val="24"/>
        </w:rPr>
        <w:t>报告，并接受其监督。</w:t>
      </w:r>
      <w:r w:rsidR="00126707">
        <w:rPr>
          <w:rFonts w:ascii="宋体" w:hAnsi="宋体" w:cs="宋体" w:hint="eastAsia"/>
          <w:sz w:val="24"/>
          <w:szCs w:val="24"/>
        </w:rPr>
        <w:t>项目办</w:t>
      </w:r>
      <w:r w:rsidRPr="00324CDB">
        <w:rPr>
          <w:rFonts w:ascii="宋体" w:hAnsi="宋体" w:cs="宋体" w:hint="eastAsia"/>
          <w:sz w:val="24"/>
          <w:szCs w:val="24"/>
        </w:rPr>
        <w:t>将为咨询</w:t>
      </w:r>
      <w:r w:rsidR="00126707">
        <w:rPr>
          <w:rFonts w:ascii="宋体" w:hAnsi="宋体" w:cs="宋体" w:hint="eastAsia"/>
          <w:sz w:val="24"/>
          <w:szCs w:val="24"/>
        </w:rPr>
        <w:t>单位</w:t>
      </w:r>
      <w:r w:rsidRPr="00324CDB">
        <w:rPr>
          <w:rFonts w:ascii="宋体" w:hAnsi="宋体" w:cs="宋体" w:hint="eastAsia"/>
          <w:sz w:val="24"/>
          <w:szCs w:val="24"/>
        </w:rPr>
        <w:t>提供任务执行的其他必要条件，包括项目有关文件资料和现场工作联络等。</w:t>
      </w:r>
      <w:r w:rsidR="00126707">
        <w:rPr>
          <w:rFonts w:ascii="宋体" w:hAnsi="宋体" w:cs="宋体" w:hint="eastAsia"/>
          <w:sz w:val="24"/>
          <w:szCs w:val="24"/>
        </w:rPr>
        <w:t>宁波大学、宁波首创厨余垃圾处理有限公司、宁波城乡建设信息中心</w:t>
      </w:r>
      <w:r w:rsidRPr="00324CDB">
        <w:rPr>
          <w:rFonts w:ascii="宋体" w:hAnsi="宋体" w:cs="宋体" w:hint="eastAsia"/>
          <w:sz w:val="24"/>
          <w:szCs w:val="24"/>
        </w:rPr>
        <w:t>做好资料收集</w:t>
      </w:r>
      <w:r w:rsidR="00126707">
        <w:rPr>
          <w:rFonts w:ascii="宋体" w:hAnsi="宋体" w:cs="宋体" w:hint="eastAsia"/>
          <w:sz w:val="24"/>
          <w:szCs w:val="24"/>
        </w:rPr>
        <w:t>、调研受访</w:t>
      </w:r>
      <w:r w:rsidRPr="00324CDB">
        <w:rPr>
          <w:rFonts w:ascii="宋体" w:hAnsi="宋体" w:cs="宋体" w:hint="eastAsia"/>
          <w:sz w:val="24"/>
          <w:szCs w:val="24"/>
        </w:rPr>
        <w:t>等相关配合工作。</w:t>
      </w:r>
    </w:p>
    <w:p w:rsidR="00386F44" w:rsidRPr="00814860" w:rsidRDefault="007A55A6"/>
    <w:sectPr w:rsidR="00386F44" w:rsidRPr="00814860" w:rsidSect="00260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A6" w:rsidRDefault="007A55A6" w:rsidP="00887AE6">
      <w:r>
        <w:separator/>
      </w:r>
    </w:p>
  </w:endnote>
  <w:endnote w:type="continuationSeparator" w:id="1">
    <w:p w:rsidR="007A55A6" w:rsidRDefault="007A55A6" w:rsidP="0088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A6" w:rsidRDefault="007A55A6" w:rsidP="00887AE6">
      <w:r>
        <w:separator/>
      </w:r>
    </w:p>
  </w:footnote>
  <w:footnote w:type="continuationSeparator" w:id="1">
    <w:p w:rsidR="007A55A6" w:rsidRDefault="007A55A6" w:rsidP="00887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C50ED"/>
    <w:multiLevelType w:val="hybridMultilevel"/>
    <w:tmpl w:val="30DCDF3A"/>
    <w:lvl w:ilvl="0" w:tplc="886E6E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6E2D"/>
    <w:multiLevelType w:val="hybridMultilevel"/>
    <w:tmpl w:val="163695CE"/>
    <w:lvl w:ilvl="0" w:tplc="F2B00BE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F251B7"/>
    <w:multiLevelType w:val="hybridMultilevel"/>
    <w:tmpl w:val="2BFCC254"/>
    <w:lvl w:ilvl="0" w:tplc="F2B00BE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996895D8">
      <w:start w:val="1"/>
      <w:numFmt w:val="lowerLetter"/>
      <w:lvlText w:val="%2．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2BA21DBD"/>
    <w:multiLevelType w:val="hybridMultilevel"/>
    <w:tmpl w:val="30DCDF3A"/>
    <w:lvl w:ilvl="0" w:tplc="886E6E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E97FBD"/>
    <w:multiLevelType w:val="hybridMultilevel"/>
    <w:tmpl w:val="85DA9574"/>
    <w:lvl w:ilvl="0" w:tplc="03DEC7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11B24C6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A5098B"/>
    <w:multiLevelType w:val="hybridMultilevel"/>
    <w:tmpl w:val="8C8AF116"/>
    <w:lvl w:ilvl="0" w:tplc="886E6E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4553AD"/>
    <w:multiLevelType w:val="hybridMultilevel"/>
    <w:tmpl w:val="00CC094A"/>
    <w:lvl w:ilvl="0" w:tplc="F294BA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5D6642"/>
    <w:multiLevelType w:val="hybridMultilevel"/>
    <w:tmpl w:val="FC084A4C"/>
    <w:lvl w:ilvl="0" w:tplc="F2B00BE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9">
    <w:nsid w:val="653861AA"/>
    <w:multiLevelType w:val="hybridMultilevel"/>
    <w:tmpl w:val="93743508"/>
    <w:lvl w:ilvl="0" w:tplc="8AC63438">
      <w:start w:val="1"/>
      <w:numFmt w:val="ideographZodiac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860"/>
    <w:rsid w:val="00126707"/>
    <w:rsid w:val="0014495D"/>
    <w:rsid w:val="00144D97"/>
    <w:rsid w:val="00190C45"/>
    <w:rsid w:val="001D7BF3"/>
    <w:rsid w:val="00214492"/>
    <w:rsid w:val="00226A40"/>
    <w:rsid w:val="00260F77"/>
    <w:rsid w:val="00261126"/>
    <w:rsid w:val="002F5E06"/>
    <w:rsid w:val="00332298"/>
    <w:rsid w:val="00335138"/>
    <w:rsid w:val="0037331E"/>
    <w:rsid w:val="00402B10"/>
    <w:rsid w:val="00417528"/>
    <w:rsid w:val="004424BC"/>
    <w:rsid w:val="00447021"/>
    <w:rsid w:val="004566F7"/>
    <w:rsid w:val="005023B2"/>
    <w:rsid w:val="00614850"/>
    <w:rsid w:val="007135B7"/>
    <w:rsid w:val="007A55A6"/>
    <w:rsid w:val="007C03B8"/>
    <w:rsid w:val="007C1C58"/>
    <w:rsid w:val="007C402E"/>
    <w:rsid w:val="00800D5E"/>
    <w:rsid w:val="00814860"/>
    <w:rsid w:val="00887AE6"/>
    <w:rsid w:val="00A71B1B"/>
    <w:rsid w:val="00AB566C"/>
    <w:rsid w:val="00AC5E7D"/>
    <w:rsid w:val="00AD0AE4"/>
    <w:rsid w:val="00C7178E"/>
    <w:rsid w:val="00C878C6"/>
    <w:rsid w:val="00CF64EA"/>
    <w:rsid w:val="00D311DE"/>
    <w:rsid w:val="00D51377"/>
    <w:rsid w:val="00DA2197"/>
    <w:rsid w:val="00E72EC9"/>
    <w:rsid w:val="00F1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86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List Paragraph"/>
    <w:basedOn w:val="a"/>
    <w:link w:val="Char"/>
    <w:qFormat/>
    <w:rsid w:val="00D311DE"/>
    <w:pPr>
      <w:widowControl/>
      <w:overflowPunct w:val="0"/>
      <w:autoSpaceDE w:val="0"/>
      <w:autoSpaceDN w:val="0"/>
      <w:adjustRightInd w:val="0"/>
      <w:ind w:firstLineChars="200" w:firstLine="420"/>
      <w:jc w:val="left"/>
      <w:textAlignment w:val="baseline"/>
    </w:pPr>
    <w:rPr>
      <w:kern w:val="0"/>
      <w:sz w:val="20"/>
      <w:lang w:eastAsia="en-US"/>
    </w:rPr>
  </w:style>
  <w:style w:type="character" w:customStyle="1" w:styleId="Char">
    <w:name w:val="列出段落 Char"/>
    <w:link w:val="a3"/>
    <w:locked/>
    <w:rsid w:val="00D311DE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3322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8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87AE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87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87A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周慧凝</dc:creator>
  <cp:lastModifiedBy>周慧凝</cp:lastModifiedBy>
  <cp:revision>19</cp:revision>
  <dcterms:created xsi:type="dcterms:W3CDTF">2019-07-30T03:19:00Z</dcterms:created>
  <dcterms:modified xsi:type="dcterms:W3CDTF">2019-07-31T07:01:00Z</dcterms:modified>
</cp:coreProperties>
</file>